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258"/>
      </w:tblGrid>
      <w:tr w:rsidR="00CA65CA" w14:paraId="6F0291B2" w14:textId="77777777" w:rsidTr="5608E667">
        <w:trPr>
          <w:cantSplit/>
          <w:trHeight w:val="7513"/>
        </w:trPr>
        <w:tc>
          <w:tcPr>
            <w:tcW w:w="9258" w:type="dxa"/>
          </w:tcPr>
          <w:p w14:paraId="4786DF66" w14:textId="1FAA45A9" w:rsidR="00CA65CA" w:rsidRPr="00C22078" w:rsidRDefault="00282F5E" w:rsidP="00E93E0E">
            <w:pPr>
              <w:pStyle w:val="Heading1"/>
              <w:rPr>
                <w:color w:val="455560" w:themeColor="accent5"/>
              </w:rPr>
            </w:pPr>
            <w:bookmarkStart w:id="0" w:name="_Toc86162826"/>
            <w:bookmarkStart w:id="1" w:name="_Toc110255233"/>
            <w:bookmarkStart w:id="2" w:name="_Toc111013067"/>
            <w:bookmarkStart w:id="3" w:name="_Toc112068172"/>
            <w:r w:rsidRPr="00282F5E">
              <w:rPr>
                <w:color w:val="455560" w:themeColor="accent5"/>
              </w:rPr>
              <w:t xml:space="preserve">London Borough of Enfield </w:t>
            </w:r>
            <w:r w:rsidR="00CA65CA" w:rsidRPr="00282F5E">
              <w:rPr>
                <w:color w:val="455560" w:themeColor="accent5"/>
              </w:rPr>
              <w:t>Pension Fund</w:t>
            </w:r>
            <w:bookmarkEnd w:id="0"/>
            <w:bookmarkEnd w:id="1"/>
            <w:bookmarkEnd w:id="2"/>
            <w:bookmarkEnd w:id="3"/>
          </w:p>
          <w:p w14:paraId="1C352C0A" w14:textId="77777777" w:rsidR="00CA65CA" w:rsidRPr="00C22078" w:rsidRDefault="00CA65CA" w:rsidP="00E93E0E">
            <w:pPr>
              <w:pStyle w:val="Heading1"/>
              <w:rPr>
                <w:color w:val="455560" w:themeColor="accent5"/>
              </w:rPr>
            </w:pPr>
            <w:bookmarkStart w:id="4" w:name="_Toc86162827"/>
            <w:bookmarkStart w:id="5" w:name="_Toc110255234"/>
            <w:bookmarkStart w:id="6" w:name="_Toc111013068"/>
            <w:bookmarkStart w:id="7" w:name="_Toc112068173"/>
            <w:r w:rsidRPr="00C22078">
              <w:rPr>
                <w:color w:val="455560" w:themeColor="accent5"/>
              </w:rPr>
              <w:t>Funding Strategy Statement</w:t>
            </w:r>
            <w:bookmarkEnd w:id="4"/>
            <w:bookmarkEnd w:id="5"/>
            <w:bookmarkEnd w:id="6"/>
            <w:bookmarkEnd w:id="7"/>
          </w:p>
          <w:p w14:paraId="3EE74942" w14:textId="2507E6A0" w:rsidR="00CA65CA" w:rsidRPr="00C22078" w:rsidRDefault="00282F5E" w:rsidP="00E93E0E">
            <w:pPr>
              <w:pStyle w:val="Heading1"/>
              <w:rPr>
                <w:color w:val="455560" w:themeColor="accent5"/>
              </w:rPr>
            </w:pPr>
            <w:r>
              <w:rPr>
                <w:color w:val="455560" w:themeColor="accent5"/>
              </w:rPr>
              <w:t>April 2026</w:t>
            </w:r>
          </w:p>
          <w:tbl>
            <w:tblPr>
              <w:tblStyle w:val="TableGrid"/>
              <w:tblW w:w="0" w:type="auto"/>
              <w:tblLayout w:type="fixed"/>
              <w:tblLook w:val="04A0" w:firstRow="1" w:lastRow="0" w:firstColumn="1" w:lastColumn="0" w:noHBand="0" w:noVBand="1"/>
            </w:tblPr>
            <w:tblGrid>
              <w:gridCol w:w="3425"/>
              <w:gridCol w:w="3250"/>
            </w:tblGrid>
            <w:tr w:rsidR="00D61105" w14:paraId="4A65C597" w14:textId="77777777" w:rsidTr="5608E667">
              <w:trPr>
                <w:trHeight w:val="301"/>
              </w:trPr>
              <w:tc>
                <w:tcPr>
                  <w:tcW w:w="3425" w:type="dxa"/>
                </w:tcPr>
                <w:p w14:paraId="531E79DB" w14:textId="4C7D10E0" w:rsidR="00D61105" w:rsidRPr="007C2164" w:rsidRDefault="00D61105" w:rsidP="00206ECB">
                  <w:pPr>
                    <w:pStyle w:val="BodyTextGrey"/>
                    <w:framePr w:hSpace="180" w:wrap="around" w:vAnchor="text" w:hAnchor="margin" w:y="6"/>
                    <w:spacing w:after="0" w:line="240" w:lineRule="auto"/>
                  </w:pPr>
                  <w:bookmarkStart w:id="8" w:name="_Toc110352043"/>
                  <w:bookmarkStart w:id="9" w:name="_Toc110352068"/>
                  <w:bookmarkStart w:id="10" w:name="_Toc110352133"/>
                  <w:r w:rsidRPr="007C2164">
                    <w:t>Effective date</w:t>
                  </w:r>
                  <w:bookmarkEnd w:id="8"/>
                  <w:bookmarkEnd w:id="9"/>
                  <w:bookmarkEnd w:id="10"/>
                </w:p>
              </w:tc>
              <w:tc>
                <w:tcPr>
                  <w:tcW w:w="3250" w:type="dxa"/>
                </w:tcPr>
                <w:p w14:paraId="53359A1A" w14:textId="3D76C28A" w:rsidR="00D61105" w:rsidRPr="007C2164" w:rsidRDefault="00D61105" w:rsidP="00206ECB">
                  <w:pPr>
                    <w:pStyle w:val="BodyTextGrey"/>
                    <w:framePr w:hSpace="180" w:wrap="around" w:vAnchor="text" w:hAnchor="margin" w:y="6"/>
                    <w:spacing w:after="0" w:line="240" w:lineRule="auto"/>
                  </w:pPr>
                  <w:r>
                    <w:t>1 April 2026</w:t>
                  </w:r>
                </w:p>
              </w:tc>
            </w:tr>
            <w:tr w:rsidR="00B013A9" w14:paraId="5457C82B" w14:textId="77777777" w:rsidTr="5608E667">
              <w:trPr>
                <w:trHeight w:val="301"/>
              </w:trPr>
              <w:tc>
                <w:tcPr>
                  <w:tcW w:w="3425" w:type="dxa"/>
                </w:tcPr>
                <w:p w14:paraId="7CB2464D" w14:textId="1F5149C8" w:rsidR="00B013A9" w:rsidRPr="007C2164" w:rsidRDefault="00B013A9" w:rsidP="00206ECB">
                  <w:pPr>
                    <w:pStyle w:val="BodyTextGrey"/>
                    <w:framePr w:hSpace="180" w:wrap="around" w:vAnchor="text" w:hAnchor="margin" w:y="6"/>
                    <w:spacing w:after="0" w:line="240" w:lineRule="auto"/>
                  </w:pPr>
                  <w:r>
                    <w:t>Previous valuation date</w:t>
                  </w:r>
                </w:p>
              </w:tc>
              <w:tc>
                <w:tcPr>
                  <w:tcW w:w="3250" w:type="dxa"/>
                </w:tcPr>
                <w:p w14:paraId="5E3FE597" w14:textId="59B5AE0B" w:rsidR="00B013A9" w:rsidRDefault="00B013A9" w:rsidP="00206ECB">
                  <w:pPr>
                    <w:pStyle w:val="BodyTextGrey"/>
                    <w:framePr w:hSpace="180" w:wrap="around" w:vAnchor="text" w:hAnchor="margin" w:y="6"/>
                    <w:spacing w:after="0" w:line="240" w:lineRule="auto"/>
                  </w:pPr>
                  <w:r>
                    <w:t>31 March 2025</w:t>
                  </w:r>
                </w:p>
              </w:tc>
            </w:tr>
            <w:tr w:rsidR="00D61105" w14:paraId="459EA0FA" w14:textId="77777777" w:rsidTr="5608E667">
              <w:trPr>
                <w:trHeight w:val="301"/>
              </w:trPr>
              <w:tc>
                <w:tcPr>
                  <w:tcW w:w="3425" w:type="dxa"/>
                </w:tcPr>
                <w:p w14:paraId="3D5A0C25" w14:textId="77777777" w:rsidR="00D61105" w:rsidRPr="007C2164" w:rsidRDefault="00D61105" w:rsidP="00206ECB">
                  <w:pPr>
                    <w:pStyle w:val="BodyTextGrey"/>
                    <w:framePr w:hSpace="180" w:wrap="around" w:vAnchor="text" w:hAnchor="margin" w:y="6"/>
                    <w:spacing w:after="0" w:line="240" w:lineRule="auto"/>
                  </w:pPr>
                  <w:bookmarkStart w:id="11" w:name="_Toc110352044"/>
                  <w:bookmarkStart w:id="12" w:name="_Toc110352069"/>
                  <w:bookmarkStart w:id="13" w:name="_Toc110352134"/>
                  <w:r w:rsidRPr="007C2164">
                    <w:t>Date approved</w:t>
                  </w:r>
                  <w:bookmarkEnd w:id="11"/>
                  <w:bookmarkEnd w:id="12"/>
                  <w:bookmarkEnd w:id="13"/>
                </w:p>
              </w:tc>
              <w:tc>
                <w:tcPr>
                  <w:tcW w:w="3250" w:type="dxa"/>
                </w:tcPr>
                <w:p w14:paraId="4290BC8F" w14:textId="77777777" w:rsidR="00D61105" w:rsidRPr="007C2164" w:rsidRDefault="00D61105" w:rsidP="00206ECB">
                  <w:pPr>
                    <w:pStyle w:val="BodyTextGrey"/>
                    <w:framePr w:hSpace="180" w:wrap="around" w:vAnchor="text" w:hAnchor="margin" w:y="6"/>
                    <w:spacing w:after="0" w:line="240" w:lineRule="auto"/>
                  </w:pPr>
                </w:p>
              </w:tc>
            </w:tr>
            <w:tr w:rsidR="00D61105" w14:paraId="21B1124F" w14:textId="77777777" w:rsidTr="5608E667">
              <w:trPr>
                <w:trHeight w:val="301"/>
              </w:trPr>
              <w:tc>
                <w:tcPr>
                  <w:tcW w:w="3425" w:type="dxa"/>
                </w:tcPr>
                <w:p w14:paraId="7192674A" w14:textId="77777777" w:rsidR="00D61105" w:rsidRPr="007C2164" w:rsidRDefault="00D61105" w:rsidP="00206ECB">
                  <w:pPr>
                    <w:pStyle w:val="BodyTextGrey"/>
                    <w:framePr w:hSpace="180" w:wrap="around" w:vAnchor="text" w:hAnchor="margin" w:y="6"/>
                    <w:spacing w:after="0" w:line="240" w:lineRule="auto"/>
                  </w:pPr>
                  <w:bookmarkStart w:id="14" w:name="_Toc110352070"/>
                  <w:bookmarkStart w:id="15" w:name="_Toc110352135"/>
                  <w:r w:rsidRPr="007C2164">
                    <w:t>Next review</w:t>
                  </w:r>
                  <w:bookmarkEnd w:id="14"/>
                  <w:bookmarkEnd w:id="15"/>
                </w:p>
              </w:tc>
              <w:tc>
                <w:tcPr>
                  <w:tcW w:w="3250" w:type="dxa"/>
                </w:tcPr>
                <w:p w14:paraId="1891853C" w14:textId="067295DC" w:rsidR="00D61105" w:rsidRPr="007C2164" w:rsidRDefault="008B036A" w:rsidP="00206ECB">
                  <w:pPr>
                    <w:pStyle w:val="BodyTextGrey"/>
                    <w:framePr w:hSpace="180" w:wrap="around" w:vAnchor="text" w:hAnchor="margin" w:y="6"/>
                    <w:spacing w:after="0" w:line="240" w:lineRule="auto"/>
                  </w:pPr>
                  <w:r>
                    <w:t>March 2029</w:t>
                  </w:r>
                </w:p>
              </w:tc>
            </w:tr>
            <w:tr w:rsidR="004C6192" w14:paraId="1795CE47" w14:textId="77777777" w:rsidTr="5608E667">
              <w:trPr>
                <w:trHeight w:val="301"/>
              </w:trPr>
              <w:tc>
                <w:tcPr>
                  <w:tcW w:w="3425" w:type="dxa"/>
                </w:tcPr>
                <w:p w14:paraId="637D53D0" w14:textId="4ABA3482" w:rsidR="004C6192" w:rsidRPr="007C2164" w:rsidRDefault="004C6192" w:rsidP="00206ECB">
                  <w:pPr>
                    <w:pStyle w:val="BodyTextGrey"/>
                    <w:framePr w:hSpace="180" w:wrap="around" w:vAnchor="text" w:hAnchor="margin" w:y="6"/>
                    <w:spacing w:after="0" w:line="240" w:lineRule="auto"/>
                  </w:pPr>
                  <w:r>
                    <w:t xml:space="preserve">Prepared in accordance with </w:t>
                  </w:r>
                  <w:r w:rsidR="00B43808">
                    <w:t>SAB / CIPFA / MHCLG guidance dated</w:t>
                  </w:r>
                </w:p>
              </w:tc>
              <w:tc>
                <w:tcPr>
                  <w:tcW w:w="3250" w:type="dxa"/>
                </w:tcPr>
                <w:p w14:paraId="5A054786" w14:textId="753049FA" w:rsidR="004C6192" w:rsidRPr="007C2164" w:rsidRDefault="008B036A" w:rsidP="00206ECB">
                  <w:pPr>
                    <w:pStyle w:val="BodyTextGrey"/>
                    <w:framePr w:hSpace="180" w:wrap="around" w:vAnchor="text" w:hAnchor="margin" w:y="6"/>
                    <w:spacing w:after="0" w:line="240" w:lineRule="auto"/>
                  </w:pPr>
                  <w:r>
                    <w:t>January 202</w:t>
                  </w:r>
                  <w:r w:rsidR="2B5CCE6E">
                    <w:t>5</w:t>
                  </w:r>
                </w:p>
              </w:tc>
            </w:tr>
          </w:tbl>
          <w:p w14:paraId="53D6A8B2" w14:textId="77777777" w:rsidR="00CA65CA" w:rsidRDefault="00CA65CA" w:rsidP="00E93E0E">
            <w:pPr>
              <w:pStyle w:val="Heading1"/>
            </w:pPr>
          </w:p>
          <w:p w14:paraId="49F249B5" w14:textId="0F60982B" w:rsidR="0053460B" w:rsidRPr="0053460B" w:rsidRDefault="0053460B" w:rsidP="00282F5E">
            <w:pPr>
              <w:pStyle w:val="BodyTextGrey"/>
            </w:pPr>
          </w:p>
        </w:tc>
      </w:tr>
      <w:tr w:rsidR="00CA65CA" w14:paraId="19CBA46A" w14:textId="77777777" w:rsidTr="5608E667">
        <w:trPr>
          <w:cantSplit/>
          <w:trHeight w:val="2032"/>
        </w:trPr>
        <w:tc>
          <w:tcPr>
            <w:tcW w:w="9258" w:type="dxa"/>
          </w:tcPr>
          <w:p w14:paraId="509C5DE9" w14:textId="77777777" w:rsidR="00CA65CA" w:rsidRDefault="00CA65CA" w:rsidP="00E93E0E">
            <w:pPr>
              <w:spacing w:before="0"/>
              <w:ind w:left="176"/>
              <w:jc w:val="left"/>
            </w:pPr>
          </w:p>
        </w:tc>
      </w:tr>
    </w:tbl>
    <w:p w14:paraId="638D8727" w14:textId="1CAB4498" w:rsidR="00CA65CA" w:rsidRDefault="00CA65CA">
      <w:pPr>
        <w:spacing w:after="20" w:line="240" w:lineRule="auto"/>
        <w:jc w:val="left"/>
        <w:rPr>
          <w:rFonts w:ascii="Times New Roman" w:hAnsi="Times New Roman" w:cs="Times New Roman"/>
          <w:snapToGrid w:val="0"/>
          <w:color w:val="455560"/>
          <w:sz w:val="86"/>
          <w:szCs w:val="86"/>
        </w:rPr>
      </w:pPr>
      <w:r>
        <w:br w:type="page"/>
      </w:r>
    </w:p>
    <w:p w14:paraId="0C3BF8EE" w14:textId="41227FCC" w:rsidR="00AD1463" w:rsidRDefault="00AD1463" w:rsidP="00AD1463">
      <w:pPr>
        <w:pStyle w:val="HeadingGrey43pt"/>
      </w:pPr>
      <w:r w:rsidRPr="00302D29">
        <w:lastRenderedPageBreak/>
        <w:t>Contents</w:t>
      </w:r>
    </w:p>
    <w:p w14:paraId="73C97064" w14:textId="77777777" w:rsidR="00AD1463" w:rsidRDefault="00AD1463" w:rsidP="00AD1463">
      <w:pPr>
        <w:pStyle w:val="TenderBluetext"/>
        <w:tabs>
          <w:tab w:val="clear" w:pos="6271"/>
          <w:tab w:val="right" w:pos="9810"/>
        </w:tabs>
      </w:pPr>
    </w:p>
    <w:p w14:paraId="11E9936F" w14:textId="6E4A258C" w:rsidR="00AD1463" w:rsidRPr="007336DE" w:rsidRDefault="00282F5E" w:rsidP="00AD1463">
      <w:pPr>
        <w:pStyle w:val="TenderBluetext"/>
        <w:tabs>
          <w:tab w:val="clear" w:pos="6271"/>
          <w:tab w:val="right" w:pos="9810"/>
        </w:tabs>
      </w:pPr>
      <w:r w:rsidRPr="00282F5E">
        <w:t xml:space="preserve">London Borough of Enfield </w:t>
      </w:r>
      <w:r w:rsidR="003D1C42" w:rsidRPr="00282F5E">
        <w:t>Pension Fund</w:t>
      </w:r>
      <w:r w:rsidR="003D1C42">
        <w:t xml:space="preserve"> – Funding Strategy Statement</w:t>
      </w:r>
      <w:r w:rsidR="00AD1463" w:rsidRPr="007336DE">
        <w:tab/>
      </w:r>
      <w:r w:rsidR="00AD1463">
        <w:rPr>
          <w:color w:val="85898A" w:themeColor="accent6"/>
        </w:rPr>
        <w:t>P</w:t>
      </w:r>
      <w:r w:rsidR="00AD1463" w:rsidRPr="001F09A9">
        <w:rPr>
          <w:color w:val="85898A" w:themeColor="accent6"/>
        </w:rPr>
        <w:t>age</w:t>
      </w:r>
    </w:p>
    <w:p w14:paraId="48C9BA67" w14:textId="77777777" w:rsidR="00AD1463" w:rsidRPr="003F2FDC" w:rsidRDefault="00AD1463" w:rsidP="00AD1463">
      <w:pPr>
        <w:pStyle w:val="BodyTextGrey"/>
        <w:tabs>
          <w:tab w:val="right" w:pos="9849"/>
        </w:tabs>
        <w:ind w:left="-125"/>
      </w:pPr>
    </w:p>
    <w:p w14:paraId="0E8C85CC" w14:textId="304BA127" w:rsidR="00C32145" w:rsidRDefault="00AD1463" w:rsidP="003F0EF5">
      <w:pPr>
        <w:pStyle w:val="TOC1"/>
        <w:rPr>
          <w:b/>
          <w:bCs/>
          <w:noProof/>
        </w:rPr>
      </w:pPr>
      <w:r>
        <w:fldChar w:fldCharType="begin"/>
      </w:r>
      <w:r>
        <w:instrText xml:space="preserve"> TOC \t "Heading 1,1,Heading 1 Num,1" </w:instrText>
      </w:r>
      <w:r>
        <w:fldChar w:fldCharType="separate"/>
      </w:r>
      <w:r w:rsidR="00F80CF7">
        <w:rPr>
          <w:noProof/>
        </w:rPr>
        <w:t>1</w:t>
      </w:r>
      <w:r w:rsidR="00F80CF7">
        <w:rPr>
          <w:rFonts w:asciiTheme="minorHAnsi" w:eastAsiaTheme="minorEastAsia" w:hAnsiTheme="minorHAnsi" w:cstheme="minorBidi"/>
          <w:iCs w:val="0"/>
          <w:noProof/>
          <w:color w:val="auto"/>
          <w:sz w:val="22"/>
          <w:szCs w:val="22"/>
        </w:rPr>
        <w:tab/>
      </w:r>
      <w:r w:rsidR="00B8032F">
        <w:rPr>
          <w:noProof/>
        </w:rPr>
        <w:t xml:space="preserve">Purpose of the </w:t>
      </w:r>
      <w:r w:rsidR="00B8032F" w:rsidRPr="004F5C25">
        <w:rPr>
          <w:noProof/>
        </w:rPr>
        <w:t>F</w:t>
      </w:r>
      <w:r w:rsidR="00F80CF7" w:rsidRPr="004F5C25">
        <w:rPr>
          <w:noProof/>
        </w:rPr>
        <w:t>und</w:t>
      </w:r>
      <w:r w:rsidR="00B8032F" w:rsidRPr="004F5C25">
        <w:rPr>
          <w:noProof/>
        </w:rPr>
        <w:t xml:space="preserve"> </w:t>
      </w:r>
      <w:r w:rsidR="00B8032F" w:rsidRPr="00282F5E">
        <w:rPr>
          <w:noProof/>
        </w:rPr>
        <w:t xml:space="preserve">and </w:t>
      </w:r>
      <w:r w:rsidR="00AB750E">
        <w:rPr>
          <w:noProof/>
        </w:rPr>
        <w:t>its</w:t>
      </w:r>
      <w:r w:rsidR="00B8032F" w:rsidRPr="00282F5E">
        <w:rPr>
          <w:noProof/>
        </w:rPr>
        <w:t xml:space="preserve"> </w:t>
      </w:r>
      <w:r w:rsidR="00B40FC8">
        <w:rPr>
          <w:noProof/>
        </w:rPr>
        <w:t>F</w:t>
      </w:r>
      <w:r w:rsidR="00F80CF7">
        <w:rPr>
          <w:noProof/>
        </w:rPr>
        <w:t xml:space="preserve">unding </w:t>
      </w:r>
      <w:r w:rsidR="00B40FC8">
        <w:rPr>
          <w:noProof/>
        </w:rPr>
        <w:t>S</w:t>
      </w:r>
      <w:r w:rsidR="00F80CF7">
        <w:rPr>
          <w:noProof/>
        </w:rPr>
        <w:t xml:space="preserve">trategy </w:t>
      </w:r>
      <w:r w:rsidR="00B40FC8">
        <w:rPr>
          <w:noProof/>
        </w:rPr>
        <w:t>S</w:t>
      </w:r>
      <w:r w:rsidR="00F80CF7">
        <w:rPr>
          <w:noProof/>
        </w:rPr>
        <w:t>tatement</w:t>
      </w:r>
      <w:r w:rsidR="00F80CF7">
        <w:rPr>
          <w:noProof/>
        </w:rPr>
        <w:tab/>
      </w:r>
      <w:r w:rsidR="00F80CF7">
        <w:rPr>
          <w:noProof/>
        </w:rPr>
        <w:fldChar w:fldCharType="begin"/>
      </w:r>
      <w:r w:rsidR="00F80CF7">
        <w:rPr>
          <w:noProof/>
        </w:rPr>
        <w:instrText xml:space="preserve"> PAGEREF _Toc112068175 \h </w:instrText>
      </w:r>
      <w:r w:rsidR="00F80CF7">
        <w:rPr>
          <w:noProof/>
        </w:rPr>
      </w:r>
      <w:r w:rsidR="00F80CF7">
        <w:rPr>
          <w:noProof/>
        </w:rPr>
        <w:fldChar w:fldCharType="separate"/>
      </w:r>
      <w:r w:rsidR="00D259F9">
        <w:rPr>
          <w:noProof/>
        </w:rPr>
        <w:t>3</w:t>
      </w:r>
      <w:r w:rsidR="00F80CF7">
        <w:rPr>
          <w:noProof/>
        </w:rPr>
        <w:fldChar w:fldCharType="end"/>
      </w:r>
    </w:p>
    <w:p w14:paraId="4140B682" w14:textId="1C731864" w:rsidR="00807A76" w:rsidRPr="00282F5E" w:rsidRDefault="00FE325A" w:rsidP="00282F5E">
      <w:pPr>
        <w:pStyle w:val="BodyTextGrey"/>
        <w:spacing w:before="120" w:after="0"/>
        <w:rPr>
          <w:noProof/>
        </w:rPr>
      </w:pPr>
      <w:r>
        <w:rPr>
          <w:b/>
          <w:bCs/>
          <w:noProof/>
        </w:rPr>
        <w:t xml:space="preserve">Part A - </w:t>
      </w:r>
      <w:r w:rsidR="00C32145">
        <w:rPr>
          <w:b/>
          <w:bCs/>
          <w:noProof/>
        </w:rPr>
        <w:t xml:space="preserve">Key </w:t>
      </w:r>
      <w:r w:rsidR="00AB750E">
        <w:rPr>
          <w:b/>
          <w:bCs/>
          <w:noProof/>
        </w:rPr>
        <w:t>f</w:t>
      </w:r>
      <w:r w:rsidR="00C32145">
        <w:rPr>
          <w:b/>
          <w:bCs/>
          <w:noProof/>
        </w:rPr>
        <w:t xml:space="preserve">unding </w:t>
      </w:r>
      <w:r w:rsidR="00AB750E">
        <w:rPr>
          <w:b/>
          <w:bCs/>
          <w:noProof/>
        </w:rPr>
        <w:t>p</w:t>
      </w:r>
      <w:r w:rsidR="00C32145">
        <w:rPr>
          <w:b/>
          <w:bCs/>
          <w:noProof/>
        </w:rPr>
        <w:t>rinciples</w:t>
      </w:r>
    </w:p>
    <w:p w14:paraId="38BF0D02" w14:textId="15714933" w:rsidR="00F80CF7" w:rsidRDefault="00F80CF7">
      <w:pPr>
        <w:pStyle w:val="TOC1"/>
        <w:rPr>
          <w:rFonts w:asciiTheme="minorHAnsi" w:eastAsiaTheme="minorEastAsia" w:hAnsiTheme="minorHAnsi" w:cstheme="minorBidi"/>
          <w:iCs w:val="0"/>
          <w:noProof/>
          <w:color w:val="auto"/>
          <w:sz w:val="22"/>
          <w:szCs w:val="22"/>
        </w:rPr>
      </w:pPr>
      <w:r>
        <w:rPr>
          <w:noProof/>
        </w:rPr>
        <w:t>2</w:t>
      </w:r>
      <w:r>
        <w:rPr>
          <w:rFonts w:asciiTheme="minorHAnsi" w:eastAsiaTheme="minorEastAsia" w:hAnsiTheme="minorHAnsi" w:cstheme="minorBidi"/>
          <w:iCs w:val="0"/>
          <w:noProof/>
          <w:color w:val="auto"/>
          <w:sz w:val="22"/>
          <w:szCs w:val="22"/>
        </w:rPr>
        <w:tab/>
      </w:r>
      <w:r>
        <w:rPr>
          <w:noProof/>
        </w:rPr>
        <w:t xml:space="preserve">How does the </w:t>
      </w:r>
      <w:r w:rsidR="00B40FC8">
        <w:rPr>
          <w:noProof/>
        </w:rPr>
        <w:t>F</w:t>
      </w:r>
      <w:r>
        <w:rPr>
          <w:noProof/>
        </w:rPr>
        <w:t>und calculate employer contributions?</w:t>
      </w:r>
      <w:r>
        <w:rPr>
          <w:noProof/>
        </w:rPr>
        <w:tab/>
      </w:r>
      <w:r>
        <w:rPr>
          <w:noProof/>
        </w:rPr>
        <w:fldChar w:fldCharType="begin"/>
      </w:r>
      <w:r>
        <w:rPr>
          <w:noProof/>
        </w:rPr>
        <w:instrText xml:space="preserve"> PAGEREF _Toc112068176 \h </w:instrText>
      </w:r>
      <w:r>
        <w:rPr>
          <w:noProof/>
        </w:rPr>
      </w:r>
      <w:r>
        <w:rPr>
          <w:noProof/>
        </w:rPr>
        <w:fldChar w:fldCharType="separate"/>
      </w:r>
      <w:r w:rsidR="00D259F9">
        <w:rPr>
          <w:noProof/>
        </w:rPr>
        <w:t>6</w:t>
      </w:r>
      <w:r>
        <w:rPr>
          <w:noProof/>
        </w:rPr>
        <w:fldChar w:fldCharType="end"/>
      </w:r>
    </w:p>
    <w:p w14:paraId="1462E6FD" w14:textId="64EE1154" w:rsidR="00F80CF7" w:rsidRDefault="00F80CF7">
      <w:pPr>
        <w:pStyle w:val="TOC1"/>
        <w:rPr>
          <w:rFonts w:asciiTheme="minorHAnsi" w:eastAsiaTheme="minorEastAsia" w:hAnsiTheme="minorHAnsi" w:cstheme="minorBidi"/>
          <w:iCs w:val="0"/>
          <w:noProof/>
          <w:color w:val="auto"/>
          <w:sz w:val="22"/>
          <w:szCs w:val="22"/>
        </w:rPr>
      </w:pPr>
      <w:r>
        <w:rPr>
          <w:noProof/>
        </w:rPr>
        <w:t>3</w:t>
      </w:r>
      <w:r>
        <w:rPr>
          <w:rFonts w:asciiTheme="minorHAnsi" w:eastAsiaTheme="minorEastAsia" w:hAnsiTheme="minorHAnsi" w:cstheme="minorBidi"/>
          <w:iCs w:val="0"/>
          <w:noProof/>
          <w:color w:val="auto"/>
          <w:sz w:val="22"/>
          <w:szCs w:val="22"/>
        </w:rPr>
        <w:tab/>
      </w:r>
      <w:r>
        <w:rPr>
          <w:noProof/>
        </w:rPr>
        <w:t>What additional contributions may be payable?</w:t>
      </w:r>
      <w:r>
        <w:rPr>
          <w:noProof/>
        </w:rPr>
        <w:tab/>
      </w:r>
      <w:r>
        <w:rPr>
          <w:noProof/>
        </w:rPr>
        <w:fldChar w:fldCharType="begin"/>
      </w:r>
      <w:r>
        <w:rPr>
          <w:noProof/>
        </w:rPr>
        <w:instrText xml:space="preserve"> PAGEREF _Toc112068177 \h </w:instrText>
      </w:r>
      <w:r>
        <w:rPr>
          <w:noProof/>
        </w:rPr>
      </w:r>
      <w:r>
        <w:rPr>
          <w:noProof/>
        </w:rPr>
        <w:fldChar w:fldCharType="separate"/>
      </w:r>
      <w:r w:rsidR="00D259F9">
        <w:rPr>
          <w:noProof/>
        </w:rPr>
        <w:t>12</w:t>
      </w:r>
      <w:r>
        <w:rPr>
          <w:noProof/>
        </w:rPr>
        <w:fldChar w:fldCharType="end"/>
      </w:r>
    </w:p>
    <w:p w14:paraId="3144228C" w14:textId="6D72DB12" w:rsidR="00F80CF7" w:rsidRDefault="00F80CF7">
      <w:pPr>
        <w:pStyle w:val="TOC1"/>
        <w:rPr>
          <w:rFonts w:asciiTheme="minorHAnsi" w:eastAsiaTheme="minorEastAsia" w:hAnsiTheme="minorHAnsi" w:cstheme="minorBidi"/>
          <w:iCs w:val="0"/>
          <w:noProof/>
          <w:color w:val="auto"/>
          <w:sz w:val="22"/>
          <w:szCs w:val="22"/>
        </w:rPr>
      </w:pPr>
      <w:r>
        <w:rPr>
          <w:noProof/>
        </w:rPr>
        <w:t>4</w:t>
      </w:r>
      <w:r>
        <w:rPr>
          <w:rFonts w:asciiTheme="minorHAnsi" w:eastAsiaTheme="minorEastAsia" w:hAnsiTheme="minorHAnsi" w:cstheme="minorBidi"/>
          <w:iCs w:val="0"/>
          <w:noProof/>
          <w:color w:val="auto"/>
          <w:sz w:val="22"/>
          <w:szCs w:val="22"/>
        </w:rPr>
        <w:tab/>
      </w:r>
      <w:r>
        <w:rPr>
          <w:noProof/>
        </w:rPr>
        <w:t xml:space="preserve">How does the </w:t>
      </w:r>
      <w:r w:rsidR="00B40FC8">
        <w:rPr>
          <w:noProof/>
        </w:rPr>
        <w:t>F</w:t>
      </w:r>
      <w:r>
        <w:rPr>
          <w:noProof/>
        </w:rPr>
        <w:t>und calculate assets and liabilities?</w:t>
      </w:r>
      <w:r>
        <w:rPr>
          <w:noProof/>
        </w:rPr>
        <w:tab/>
      </w:r>
      <w:r>
        <w:rPr>
          <w:noProof/>
        </w:rPr>
        <w:fldChar w:fldCharType="begin"/>
      </w:r>
      <w:r>
        <w:rPr>
          <w:noProof/>
        </w:rPr>
        <w:instrText xml:space="preserve"> PAGEREF _Toc112068178 \h </w:instrText>
      </w:r>
      <w:r>
        <w:rPr>
          <w:noProof/>
        </w:rPr>
      </w:r>
      <w:r>
        <w:rPr>
          <w:noProof/>
        </w:rPr>
        <w:fldChar w:fldCharType="separate"/>
      </w:r>
      <w:r w:rsidR="00D259F9">
        <w:rPr>
          <w:noProof/>
        </w:rPr>
        <w:t>13</w:t>
      </w:r>
      <w:r>
        <w:rPr>
          <w:noProof/>
        </w:rPr>
        <w:fldChar w:fldCharType="end"/>
      </w:r>
    </w:p>
    <w:p w14:paraId="5FF16FB0" w14:textId="77777777" w:rsidR="00FE325A" w:rsidRPr="004B64EA" w:rsidRDefault="00FE325A" w:rsidP="00FE325A">
      <w:pPr>
        <w:pStyle w:val="BodyTextGrey"/>
        <w:spacing w:before="120" w:after="0"/>
        <w:rPr>
          <w:b/>
          <w:bCs/>
          <w:noProof/>
        </w:rPr>
      </w:pPr>
      <w:r>
        <w:rPr>
          <w:b/>
          <w:bCs/>
          <w:noProof/>
        </w:rPr>
        <w:t xml:space="preserve">Part B - </w:t>
      </w:r>
      <w:r w:rsidRPr="004B64EA">
        <w:rPr>
          <w:b/>
          <w:bCs/>
          <w:noProof/>
        </w:rPr>
        <w:t>Employer events</w:t>
      </w:r>
    </w:p>
    <w:p w14:paraId="1DEE15E6" w14:textId="5F8B5CCB" w:rsidR="00F80CF7" w:rsidRDefault="00F80CF7">
      <w:pPr>
        <w:pStyle w:val="TOC1"/>
        <w:rPr>
          <w:noProof/>
        </w:rPr>
      </w:pPr>
      <w:r>
        <w:rPr>
          <w:noProof/>
        </w:rPr>
        <w:t>5</w:t>
      </w:r>
      <w:r>
        <w:rPr>
          <w:rFonts w:asciiTheme="minorHAnsi" w:eastAsiaTheme="minorEastAsia" w:hAnsiTheme="minorHAnsi" w:cstheme="minorBidi"/>
          <w:iCs w:val="0"/>
          <w:noProof/>
          <w:color w:val="auto"/>
          <w:sz w:val="22"/>
          <w:szCs w:val="22"/>
        </w:rPr>
        <w:tab/>
      </w:r>
      <w:r>
        <w:rPr>
          <w:noProof/>
        </w:rPr>
        <w:t xml:space="preserve">What happens when an employer joins the </w:t>
      </w:r>
      <w:r w:rsidR="00B40FC8">
        <w:rPr>
          <w:noProof/>
        </w:rPr>
        <w:t>F</w:t>
      </w:r>
      <w:r>
        <w:rPr>
          <w:noProof/>
        </w:rPr>
        <w:t>und?</w:t>
      </w:r>
      <w:r>
        <w:rPr>
          <w:noProof/>
        </w:rPr>
        <w:tab/>
      </w:r>
      <w:r>
        <w:rPr>
          <w:noProof/>
        </w:rPr>
        <w:fldChar w:fldCharType="begin"/>
      </w:r>
      <w:r>
        <w:rPr>
          <w:noProof/>
        </w:rPr>
        <w:instrText xml:space="preserve"> PAGEREF _Toc112068179 \h </w:instrText>
      </w:r>
      <w:r>
        <w:rPr>
          <w:noProof/>
        </w:rPr>
      </w:r>
      <w:r>
        <w:rPr>
          <w:noProof/>
        </w:rPr>
        <w:fldChar w:fldCharType="separate"/>
      </w:r>
      <w:r w:rsidR="00D259F9">
        <w:rPr>
          <w:noProof/>
        </w:rPr>
        <w:t>14</w:t>
      </w:r>
      <w:r>
        <w:rPr>
          <w:noProof/>
        </w:rPr>
        <w:fldChar w:fldCharType="end"/>
      </w:r>
    </w:p>
    <w:p w14:paraId="51CAE581" w14:textId="72A9EB11" w:rsidR="00F80CF7" w:rsidRDefault="00F80CF7">
      <w:pPr>
        <w:pStyle w:val="TOC1"/>
        <w:rPr>
          <w:rFonts w:asciiTheme="minorHAnsi" w:eastAsiaTheme="minorEastAsia" w:hAnsiTheme="minorHAnsi" w:cstheme="minorBidi"/>
          <w:iCs w:val="0"/>
          <w:noProof/>
          <w:color w:val="auto"/>
          <w:sz w:val="22"/>
          <w:szCs w:val="22"/>
        </w:rPr>
      </w:pPr>
      <w:r>
        <w:rPr>
          <w:noProof/>
        </w:rPr>
        <w:t>6</w:t>
      </w:r>
      <w:r>
        <w:rPr>
          <w:rFonts w:asciiTheme="minorHAnsi" w:eastAsiaTheme="minorEastAsia" w:hAnsiTheme="minorHAnsi" w:cstheme="minorBidi"/>
          <w:iCs w:val="0"/>
          <w:noProof/>
          <w:color w:val="auto"/>
          <w:sz w:val="22"/>
          <w:szCs w:val="22"/>
        </w:rPr>
        <w:tab/>
      </w:r>
      <w:r>
        <w:rPr>
          <w:noProof/>
        </w:rPr>
        <w:t>What happens if an employer has a bulk transfer of staff?</w:t>
      </w:r>
      <w:r>
        <w:rPr>
          <w:noProof/>
        </w:rPr>
        <w:tab/>
      </w:r>
      <w:r>
        <w:rPr>
          <w:noProof/>
        </w:rPr>
        <w:fldChar w:fldCharType="begin"/>
      </w:r>
      <w:r>
        <w:rPr>
          <w:noProof/>
        </w:rPr>
        <w:instrText xml:space="preserve"> PAGEREF _Toc112068180 \h </w:instrText>
      </w:r>
      <w:r>
        <w:rPr>
          <w:noProof/>
        </w:rPr>
      </w:r>
      <w:r>
        <w:rPr>
          <w:noProof/>
        </w:rPr>
        <w:fldChar w:fldCharType="separate"/>
      </w:r>
      <w:r w:rsidR="00D259F9">
        <w:rPr>
          <w:noProof/>
        </w:rPr>
        <w:t>17</w:t>
      </w:r>
      <w:r>
        <w:rPr>
          <w:noProof/>
        </w:rPr>
        <w:fldChar w:fldCharType="end"/>
      </w:r>
    </w:p>
    <w:p w14:paraId="6FD3749B" w14:textId="094D152D" w:rsidR="00F80CF7" w:rsidRDefault="00F80CF7">
      <w:pPr>
        <w:pStyle w:val="TOC1"/>
        <w:rPr>
          <w:noProof/>
        </w:rPr>
      </w:pPr>
      <w:r>
        <w:rPr>
          <w:noProof/>
        </w:rPr>
        <w:t>7</w:t>
      </w:r>
      <w:r>
        <w:rPr>
          <w:rFonts w:asciiTheme="minorHAnsi" w:eastAsiaTheme="minorEastAsia" w:hAnsiTheme="minorHAnsi" w:cstheme="minorBidi"/>
          <w:iCs w:val="0"/>
          <w:noProof/>
          <w:color w:val="auto"/>
          <w:sz w:val="22"/>
          <w:szCs w:val="22"/>
        </w:rPr>
        <w:tab/>
      </w:r>
      <w:r>
        <w:rPr>
          <w:noProof/>
        </w:rPr>
        <w:t xml:space="preserve">What happens when an employer leaves the </w:t>
      </w:r>
      <w:r w:rsidR="00B40FC8">
        <w:rPr>
          <w:noProof/>
        </w:rPr>
        <w:t>F</w:t>
      </w:r>
      <w:r>
        <w:rPr>
          <w:noProof/>
        </w:rPr>
        <w:t>und?</w:t>
      </w:r>
      <w:r>
        <w:rPr>
          <w:noProof/>
        </w:rPr>
        <w:tab/>
      </w:r>
      <w:r>
        <w:rPr>
          <w:noProof/>
        </w:rPr>
        <w:fldChar w:fldCharType="begin"/>
      </w:r>
      <w:r>
        <w:rPr>
          <w:noProof/>
        </w:rPr>
        <w:instrText xml:space="preserve"> PAGEREF _Toc112068181 \h </w:instrText>
      </w:r>
      <w:r>
        <w:rPr>
          <w:noProof/>
        </w:rPr>
      </w:r>
      <w:r>
        <w:rPr>
          <w:noProof/>
        </w:rPr>
        <w:fldChar w:fldCharType="separate"/>
      </w:r>
      <w:r w:rsidR="00D259F9">
        <w:rPr>
          <w:noProof/>
        </w:rPr>
        <w:t>18</w:t>
      </w:r>
      <w:r>
        <w:rPr>
          <w:noProof/>
        </w:rPr>
        <w:fldChar w:fldCharType="end"/>
      </w:r>
    </w:p>
    <w:p w14:paraId="5AC07B55" w14:textId="59606AAB" w:rsidR="009E0834" w:rsidRPr="00AE1BCC" w:rsidRDefault="009E0834" w:rsidP="009E0834">
      <w:pPr>
        <w:pStyle w:val="BodyTextGrey"/>
        <w:spacing w:before="120" w:after="0"/>
        <w:rPr>
          <w:b/>
          <w:bCs/>
          <w:noProof/>
        </w:rPr>
      </w:pPr>
    </w:p>
    <w:p w14:paraId="1E2D49FC" w14:textId="32BE94B5" w:rsidR="00F80CF7" w:rsidRDefault="00F80CF7">
      <w:pPr>
        <w:pStyle w:val="TOC1"/>
        <w:rPr>
          <w:rFonts w:asciiTheme="minorHAnsi" w:eastAsiaTheme="minorEastAsia" w:hAnsiTheme="minorHAnsi" w:cstheme="minorBidi"/>
          <w:iCs w:val="0"/>
          <w:noProof/>
          <w:color w:val="auto"/>
          <w:sz w:val="22"/>
          <w:szCs w:val="22"/>
        </w:rPr>
      </w:pPr>
      <w:r>
        <w:rPr>
          <w:noProof/>
        </w:rPr>
        <w:t>8</w:t>
      </w:r>
      <w:r>
        <w:rPr>
          <w:rFonts w:asciiTheme="minorHAnsi" w:eastAsiaTheme="minorEastAsia" w:hAnsiTheme="minorHAnsi" w:cstheme="minorBidi"/>
          <w:iCs w:val="0"/>
          <w:noProof/>
          <w:color w:val="auto"/>
          <w:sz w:val="22"/>
          <w:szCs w:val="22"/>
        </w:rPr>
        <w:tab/>
      </w:r>
      <w:r>
        <w:rPr>
          <w:noProof/>
        </w:rPr>
        <w:t>What are the statutory reporting requirements?</w:t>
      </w:r>
      <w:r>
        <w:rPr>
          <w:noProof/>
        </w:rPr>
        <w:tab/>
      </w:r>
      <w:r>
        <w:rPr>
          <w:noProof/>
        </w:rPr>
        <w:fldChar w:fldCharType="begin"/>
      </w:r>
      <w:r>
        <w:rPr>
          <w:noProof/>
        </w:rPr>
        <w:instrText xml:space="preserve"> PAGEREF _Toc112068182 \h </w:instrText>
      </w:r>
      <w:r>
        <w:rPr>
          <w:noProof/>
        </w:rPr>
      </w:r>
      <w:r>
        <w:rPr>
          <w:noProof/>
        </w:rPr>
        <w:fldChar w:fldCharType="separate"/>
      </w:r>
      <w:r w:rsidR="00D259F9">
        <w:rPr>
          <w:noProof/>
        </w:rPr>
        <w:t>19</w:t>
      </w:r>
      <w:r>
        <w:rPr>
          <w:noProof/>
        </w:rPr>
        <w:fldChar w:fldCharType="end"/>
      </w:r>
    </w:p>
    <w:p w14:paraId="01C2E655" w14:textId="4A7BFCC6" w:rsidR="00AD1463" w:rsidRDefault="00AD1463" w:rsidP="00AD1463">
      <w:pPr>
        <w:pStyle w:val="TableOfContents"/>
      </w:pPr>
      <w:r>
        <w:rPr>
          <w:noProof w:val="0"/>
        </w:rPr>
        <w:fldChar w:fldCharType="end"/>
      </w:r>
    </w:p>
    <w:p w14:paraId="2D0B0D31" w14:textId="77777777" w:rsidR="00AD1463" w:rsidRDefault="00AD1463" w:rsidP="00AD1463">
      <w:pPr>
        <w:pStyle w:val="TenderBluetext"/>
        <w:tabs>
          <w:tab w:val="clear" w:pos="6271"/>
          <w:tab w:val="right" w:pos="9849"/>
        </w:tabs>
      </w:pPr>
      <w:r>
        <w:t>Appendices</w:t>
      </w:r>
    </w:p>
    <w:p w14:paraId="1C05E121" w14:textId="77777777" w:rsidR="00AD1463" w:rsidRDefault="00AD1463" w:rsidP="00AD1463">
      <w:pPr>
        <w:pStyle w:val="BodyTextGrey"/>
        <w:tabs>
          <w:tab w:val="right" w:pos="9849"/>
        </w:tabs>
        <w:ind w:left="-125"/>
      </w:pPr>
    </w:p>
    <w:p w14:paraId="6370F72A" w14:textId="77777777" w:rsidR="000B7EC6" w:rsidRDefault="00AD1463">
      <w:pPr>
        <w:pStyle w:val="TOC1"/>
        <w:rPr>
          <w:rFonts w:asciiTheme="minorHAnsi" w:eastAsiaTheme="minorEastAsia" w:hAnsiTheme="minorHAnsi" w:cstheme="minorBidi"/>
          <w:iCs w:val="0"/>
          <w:noProof/>
          <w:color w:val="auto"/>
          <w:kern w:val="2"/>
          <w:sz w:val="24"/>
          <w:szCs w:val="24"/>
          <w14:ligatures w14:val="standardContextual"/>
        </w:rPr>
      </w:pPr>
      <w:r>
        <w:fldChar w:fldCharType="begin"/>
      </w:r>
      <w:r>
        <w:instrText xml:space="preserve"> TOC \n \t "Appendix 1,1" </w:instrText>
      </w:r>
      <w:r>
        <w:fldChar w:fldCharType="separate"/>
      </w:r>
      <w:r w:rsidR="000B7EC6">
        <w:rPr>
          <w:noProof/>
        </w:rPr>
        <w:t>Appendix A – The regulatory framework</w:t>
      </w:r>
    </w:p>
    <w:p w14:paraId="7FC6E4E4" w14:textId="77777777" w:rsidR="000B7EC6" w:rsidRDefault="000B7EC6">
      <w:pPr>
        <w:pStyle w:val="TOC1"/>
        <w:rPr>
          <w:rFonts w:asciiTheme="minorHAnsi" w:eastAsiaTheme="minorEastAsia" w:hAnsiTheme="minorHAnsi" w:cstheme="minorBidi"/>
          <w:iCs w:val="0"/>
          <w:noProof/>
          <w:color w:val="auto"/>
          <w:kern w:val="2"/>
          <w:sz w:val="24"/>
          <w:szCs w:val="24"/>
          <w14:ligatures w14:val="standardContextual"/>
        </w:rPr>
      </w:pPr>
      <w:r>
        <w:rPr>
          <w:noProof/>
        </w:rPr>
        <w:t>Appendix B – Roles and responsibilities</w:t>
      </w:r>
    </w:p>
    <w:p w14:paraId="3DAE6EA8" w14:textId="06FF5505" w:rsidR="000B7EC6" w:rsidRDefault="000B7EC6">
      <w:pPr>
        <w:pStyle w:val="TOC1"/>
        <w:rPr>
          <w:rFonts w:asciiTheme="minorHAnsi" w:eastAsiaTheme="minorEastAsia" w:hAnsiTheme="minorHAnsi" w:cstheme="minorBidi"/>
          <w:iCs w:val="0"/>
          <w:noProof/>
          <w:color w:val="auto"/>
          <w:kern w:val="2"/>
          <w:sz w:val="24"/>
          <w:szCs w:val="24"/>
          <w14:ligatures w14:val="standardContextual"/>
        </w:rPr>
      </w:pPr>
      <w:r>
        <w:rPr>
          <w:noProof/>
        </w:rPr>
        <w:t xml:space="preserve">Appendix </w:t>
      </w:r>
      <w:r w:rsidR="0071436B">
        <w:rPr>
          <w:noProof/>
        </w:rPr>
        <w:t>C</w:t>
      </w:r>
      <w:r>
        <w:rPr>
          <w:noProof/>
        </w:rPr>
        <w:t xml:space="preserve"> – Glossary</w:t>
      </w:r>
    </w:p>
    <w:p w14:paraId="67D7F0CE" w14:textId="3AEE830F" w:rsidR="000B7EC6" w:rsidRDefault="000B7EC6">
      <w:pPr>
        <w:pStyle w:val="TOC1"/>
        <w:rPr>
          <w:rFonts w:asciiTheme="minorHAnsi" w:eastAsiaTheme="minorEastAsia" w:hAnsiTheme="minorHAnsi" w:cstheme="minorBidi"/>
          <w:iCs w:val="0"/>
          <w:noProof/>
          <w:color w:val="auto"/>
          <w:kern w:val="2"/>
          <w:sz w:val="24"/>
          <w:szCs w:val="24"/>
          <w14:ligatures w14:val="standardContextual"/>
        </w:rPr>
      </w:pPr>
      <w:r>
        <w:rPr>
          <w:noProof/>
        </w:rPr>
        <w:t xml:space="preserve">Appendix </w:t>
      </w:r>
      <w:r w:rsidR="0071436B">
        <w:rPr>
          <w:noProof/>
        </w:rPr>
        <w:t>D</w:t>
      </w:r>
      <w:r>
        <w:rPr>
          <w:noProof/>
        </w:rPr>
        <w:t xml:space="preserve"> – Risks and controls</w:t>
      </w:r>
    </w:p>
    <w:p w14:paraId="623DFD81" w14:textId="321E580B" w:rsidR="000B7EC6" w:rsidRDefault="000B7EC6">
      <w:pPr>
        <w:pStyle w:val="TOC1"/>
        <w:rPr>
          <w:rFonts w:asciiTheme="minorHAnsi" w:eastAsiaTheme="minorEastAsia" w:hAnsiTheme="minorHAnsi" w:cstheme="minorBidi"/>
          <w:iCs w:val="0"/>
          <w:noProof/>
          <w:color w:val="auto"/>
          <w:kern w:val="2"/>
          <w:sz w:val="24"/>
          <w:szCs w:val="24"/>
          <w14:ligatures w14:val="standardContextual"/>
        </w:rPr>
      </w:pPr>
      <w:r>
        <w:rPr>
          <w:noProof/>
        </w:rPr>
        <w:t xml:space="preserve">Appendix </w:t>
      </w:r>
      <w:r w:rsidR="0071436B">
        <w:rPr>
          <w:noProof/>
        </w:rPr>
        <w:t>E</w:t>
      </w:r>
      <w:r>
        <w:rPr>
          <w:noProof/>
        </w:rPr>
        <w:t xml:space="preserve"> – Actuarial assumptions</w:t>
      </w:r>
    </w:p>
    <w:p w14:paraId="49F85946" w14:textId="253C1B07" w:rsidR="002D2CF0" w:rsidRPr="00461C3E" w:rsidRDefault="00AD1463" w:rsidP="00BA6285">
      <w:pPr>
        <w:pStyle w:val="BodyTextGrey"/>
        <w:rPr>
          <w:noProof/>
          <w:color w:val="455560"/>
          <w:lang w:eastAsia="en-GB"/>
        </w:rPr>
      </w:pPr>
      <w:r>
        <w:rPr>
          <w:rFonts w:cs="Times New Roman"/>
          <w:color w:val="3FA6CC"/>
          <w:kern w:val="28"/>
          <w:sz w:val="36"/>
        </w:rPr>
        <w:fldChar w:fldCharType="end"/>
      </w:r>
      <w:r w:rsidR="00D4591A" w:rsidRPr="00461C3E">
        <w:rPr>
          <w:noProof/>
          <w:color w:val="455560"/>
          <w:lang w:eastAsia="en-GB"/>
        </w:rPr>
        <w:t>Appendix F – Contribution review policy</w:t>
      </w:r>
    </w:p>
    <w:p w14:paraId="60DC7303" w14:textId="77777777" w:rsidR="002D2CF0" w:rsidRDefault="002D2CF0" w:rsidP="00BA6285">
      <w:pPr>
        <w:pStyle w:val="BodyTextGrey"/>
      </w:pPr>
    </w:p>
    <w:p w14:paraId="07DC4E80" w14:textId="6AAD5AA8" w:rsidR="008C4872" w:rsidRDefault="008C4872" w:rsidP="00282F5E">
      <w:pPr>
        <w:pStyle w:val="BodyText"/>
        <w:tabs>
          <w:tab w:val="left" w:pos="2925"/>
        </w:tabs>
        <w:rPr>
          <w:color w:val="455560" w:themeColor="accent5"/>
          <w:lang w:eastAsia="en-US"/>
        </w:rPr>
      </w:pPr>
      <w:r>
        <w:rPr>
          <w:color w:val="455560" w:themeColor="accent5"/>
          <w:lang w:eastAsia="en-US"/>
        </w:rPr>
        <w:tab/>
      </w:r>
    </w:p>
    <w:p w14:paraId="5BAD5956" w14:textId="424BA2B2" w:rsidR="0087735C" w:rsidRPr="00252301" w:rsidRDefault="008C4872" w:rsidP="00282F5E">
      <w:pPr>
        <w:pStyle w:val="BodyText"/>
        <w:tabs>
          <w:tab w:val="left" w:pos="2925"/>
        </w:tabs>
        <w:sectPr w:rsidR="0087735C" w:rsidRPr="00252301" w:rsidSect="005E4BE7">
          <w:headerReference w:type="even" r:id="rId11"/>
          <w:headerReference w:type="default" r:id="rId12"/>
          <w:footerReference w:type="default" r:id="rId13"/>
          <w:headerReference w:type="first" r:id="rId14"/>
          <w:footerReference w:type="first" r:id="rId15"/>
          <w:pgSz w:w="11909" w:h="16834" w:code="9"/>
          <w:pgMar w:top="1814" w:right="851" w:bottom="1134" w:left="1134" w:header="720" w:footer="325" w:gutter="0"/>
          <w:pgNumType w:start="1"/>
          <w:cols w:space="720"/>
        </w:sectPr>
      </w:pPr>
      <w:r>
        <w:rPr>
          <w:lang w:eastAsia="en-US"/>
        </w:rPr>
        <w:tab/>
      </w:r>
    </w:p>
    <w:p w14:paraId="503CD73F" w14:textId="2311725E" w:rsidR="003A4DFA" w:rsidRDefault="00B8032F" w:rsidP="00C43446">
      <w:pPr>
        <w:pStyle w:val="Heading1Num"/>
      </w:pPr>
      <w:bookmarkStart w:id="17" w:name="_Toc86162830"/>
      <w:bookmarkStart w:id="18" w:name="_Toc112068175"/>
      <w:r>
        <w:lastRenderedPageBreak/>
        <w:t xml:space="preserve">Purpose of the </w:t>
      </w:r>
      <w:r w:rsidRPr="004F5C25">
        <w:t>F</w:t>
      </w:r>
      <w:r w:rsidR="00A410B1" w:rsidRPr="004F5C25">
        <w:t>und</w:t>
      </w:r>
      <w:r w:rsidR="00A410B1">
        <w:t xml:space="preserve"> </w:t>
      </w:r>
      <w:r>
        <w:t xml:space="preserve">and </w:t>
      </w:r>
      <w:r w:rsidR="005C5221">
        <w:t>its</w:t>
      </w:r>
      <w:r>
        <w:t xml:space="preserve"> </w:t>
      </w:r>
      <w:r w:rsidR="00995486">
        <w:t>F</w:t>
      </w:r>
      <w:r w:rsidR="00445823">
        <w:t xml:space="preserve">unding </w:t>
      </w:r>
      <w:r w:rsidR="00995486">
        <w:t xml:space="preserve">Strategy </w:t>
      </w:r>
      <w:bookmarkStart w:id="19" w:name="StartOfDocument"/>
      <w:bookmarkEnd w:id="17"/>
      <w:bookmarkEnd w:id="18"/>
      <w:bookmarkEnd w:id="19"/>
      <w:r w:rsidR="00995486">
        <w:t xml:space="preserve">Statement </w:t>
      </w:r>
    </w:p>
    <w:p w14:paraId="4192BDD2" w14:textId="7681B6A1" w:rsidR="00910D52" w:rsidRDefault="00445823" w:rsidP="00951E8F">
      <w:pPr>
        <w:pStyle w:val="BodyTextGrey"/>
      </w:pPr>
      <w:r>
        <w:t xml:space="preserve">This </w:t>
      </w:r>
      <w:r w:rsidR="00F17265">
        <w:t xml:space="preserve">document </w:t>
      </w:r>
      <w:r w:rsidR="00810443">
        <w:t xml:space="preserve">sets out the </w:t>
      </w:r>
      <w:r w:rsidR="00245268">
        <w:t>F</w:t>
      </w:r>
      <w:r>
        <w:t xml:space="preserve">unding </w:t>
      </w:r>
      <w:r w:rsidR="00245268">
        <w:t>S</w:t>
      </w:r>
      <w:r>
        <w:t xml:space="preserve">trategy </w:t>
      </w:r>
      <w:r w:rsidR="00245268">
        <w:t>S</w:t>
      </w:r>
      <w:r>
        <w:t>tatement (FSS)</w:t>
      </w:r>
      <w:r w:rsidR="00F17265">
        <w:t xml:space="preserve"> for </w:t>
      </w:r>
      <w:r w:rsidR="003E6943" w:rsidRPr="004F5C25">
        <w:t xml:space="preserve">London Borough of Enfield </w:t>
      </w:r>
      <w:r w:rsidR="00245268">
        <w:t>P</w:t>
      </w:r>
      <w:r w:rsidR="00137BB9" w:rsidRPr="004F5C25">
        <w:t xml:space="preserve">ension </w:t>
      </w:r>
      <w:r w:rsidR="00245268">
        <w:t>F</w:t>
      </w:r>
      <w:r w:rsidR="00137BB9" w:rsidRPr="004F5C25">
        <w:t>und</w:t>
      </w:r>
      <w:r w:rsidR="00970CE0">
        <w:t xml:space="preserve"> (“Fund”)</w:t>
      </w:r>
      <w:r w:rsidR="00F17265" w:rsidRPr="003E6943">
        <w:t>.</w:t>
      </w:r>
      <w:r w:rsidR="00F17265">
        <w:t xml:space="preserve"> </w:t>
      </w:r>
    </w:p>
    <w:p w14:paraId="4C78DC0E" w14:textId="5503412A" w:rsidR="004D5C31" w:rsidRDefault="00910D52" w:rsidP="00951E8F">
      <w:pPr>
        <w:pStyle w:val="BodyTextGrey"/>
      </w:pPr>
      <w:r>
        <w:t xml:space="preserve">The </w:t>
      </w:r>
      <w:r w:rsidR="00245268">
        <w:t>F</w:t>
      </w:r>
      <w:r w:rsidRPr="004F5C25">
        <w:t>und</w:t>
      </w:r>
      <w:r>
        <w:t xml:space="preserve"> is </w:t>
      </w:r>
      <w:r w:rsidR="00BF7A29">
        <w:t xml:space="preserve">administered by </w:t>
      </w:r>
      <w:r w:rsidR="002F05CA">
        <w:t xml:space="preserve">the London Borough of </w:t>
      </w:r>
      <w:r w:rsidR="00BB048F" w:rsidRPr="004F5C25">
        <w:t>Enfield</w:t>
      </w:r>
      <w:r w:rsidR="008208DB">
        <w:t xml:space="preserve"> Council</w:t>
      </w:r>
      <w:r w:rsidR="002F05CA">
        <w:t>,</w:t>
      </w:r>
      <w:r>
        <w:t xml:space="preserve"> known as t</w:t>
      </w:r>
      <w:r w:rsidR="00951E8F">
        <w:t xml:space="preserve">he </w:t>
      </w:r>
      <w:r w:rsidR="003277B2">
        <w:t>a</w:t>
      </w:r>
      <w:r w:rsidR="00951E8F">
        <w:t xml:space="preserve">dministering </w:t>
      </w:r>
      <w:r w:rsidR="003277B2">
        <w:t>a</w:t>
      </w:r>
      <w:r w:rsidR="00951E8F">
        <w:t>uthority</w:t>
      </w:r>
      <w:r>
        <w:t xml:space="preserve">. </w:t>
      </w:r>
      <w:r w:rsidR="00224A68">
        <w:t xml:space="preserve">The London Borough of </w:t>
      </w:r>
      <w:r w:rsidR="00BB048F" w:rsidRPr="004F5C25">
        <w:t xml:space="preserve">Enfield </w:t>
      </w:r>
      <w:r>
        <w:t xml:space="preserve">worked with the </w:t>
      </w:r>
      <w:r w:rsidR="00224A68">
        <w:t>F</w:t>
      </w:r>
      <w:r>
        <w:t xml:space="preserve">und’s actuary, </w:t>
      </w:r>
      <w:r w:rsidR="003277B2">
        <w:t xml:space="preserve">Hymans Robertson, </w:t>
      </w:r>
      <w:r>
        <w:t>to prepare th</w:t>
      </w:r>
      <w:r w:rsidR="00EB1C3E">
        <w:t>is</w:t>
      </w:r>
      <w:r>
        <w:t xml:space="preserve"> </w:t>
      </w:r>
      <w:r w:rsidR="00810443">
        <w:t>FSS</w:t>
      </w:r>
      <w:r w:rsidR="004D5C31">
        <w:t xml:space="preserve"> which is </w:t>
      </w:r>
      <w:r w:rsidR="003277B2">
        <w:t xml:space="preserve">effective from </w:t>
      </w:r>
      <w:r w:rsidR="00CD3C03">
        <w:t>1 April 2026</w:t>
      </w:r>
      <w:r w:rsidR="00513A94">
        <w:t xml:space="preserve"> </w:t>
      </w:r>
    </w:p>
    <w:p w14:paraId="1F6CCA41" w14:textId="73F08BFC" w:rsidR="00951E8F" w:rsidRPr="00066F40" w:rsidRDefault="006C5D87" w:rsidP="00951E8F">
      <w:pPr>
        <w:pStyle w:val="BodyTextGrey"/>
      </w:pPr>
      <w:r>
        <w:t xml:space="preserve">There’s a regulatory requirement for </w:t>
      </w:r>
      <w:r w:rsidR="00F45F71">
        <w:t xml:space="preserve">the administering authority </w:t>
      </w:r>
      <w:r>
        <w:t>t</w:t>
      </w:r>
      <w:r w:rsidR="00EB1C3E">
        <w:t>o p</w:t>
      </w:r>
      <w:r w:rsidR="00513A94">
        <w:t>repar</w:t>
      </w:r>
      <w:r w:rsidR="00EB1C3E">
        <w:t>e</w:t>
      </w:r>
      <w:r w:rsidR="00513A94">
        <w:t xml:space="preserve"> a</w:t>
      </w:r>
      <w:r w:rsidR="00341935">
        <w:t>n FSS</w:t>
      </w:r>
      <w:r w:rsidR="00B76C88">
        <w:t xml:space="preserve">. You </w:t>
      </w:r>
      <w:r w:rsidR="003A7A6D">
        <w:t>can find out more about the</w:t>
      </w:r>
      <w:r w:rsidR="00FB3E05">
        <w:t xml:space="preserve"> </w:t>
      </w:r>
      <w:r w:rsidR="003A7A6D">
        <w:t>regulatory framework</w:t>
      </w:r>
      <w:r w:rsidR="00FB3E05">
        <w:t xml:space="preserve"> </w:t>
      </w:r>
      <w:r w:rsidR="004D5C31">
        <w:t xml:space="preserve">in </w:t>
      </w:r>
      <w:hyperlink w:anchor="AppendixA" w:history="1">
        <w:r w:rsidR="003A7A6D" w:rsidRPr="00EE46A9">
          <w:rPr>
            <w:rStyle w:val="Hyperlink"/>
          </w:rPr>
          <w:t>Appendix A</w:t>
        </w:r>
      </w:hyperlink>
      <w:r w:rsidR="003A7A6D">
        <w:t xml:space="preserve">. If you have any queries about the FSS, contact </w:t>
      </w:r>
      <w:hyperlink r:id="rId16" w:history="1">
        <w:r w:rsidR="00970CE0" w:rsidRPr="00970CE0">
          <w:rPr>
            <w:rStyle w:val="Hyperlink"/>
          </w:rPr>
          <w:t>zpensions@enfield.gov.uk</w:t>
        </w:r>
      </w:hyperlink>
      <w:r w:rsidR="00445858">
        <w:t xml:space="preserve">. </w:t>
      </w:r>
    </w:p>
    <w:p w14:paraId="2B97E214" w14:textId="6989CD99" w:rsidR="00951E8F" w:rsidRPr="00C43446" w:rsidRDefault="00951E8F" w:rsidP="00C43446">
      <w:pPr>
        <w:pStyle w:val="Heading2Num"/>
      </w:pPr>
      <w:bookmarkStart w:id="20" w:name="_Toc86162831"/>
      <w:bookmarkStart w:id="21" w:name="_Toc16078777"/>
      <w:r w:rsidRPr="00C43446">
        <w:t xml:space="preserve">What is the </w:t>
      </w:r>
      <w:r w:rsidR="00054EB4">
        <w:t>London Borough of Enfield</w:t>
      </w:r>
      <w:r w:rsidR="00963934">
        <w:t xml:space="preserve"> P</w:t>
      </w:r>
      <w:r w:rsidRPr="00C43446">
        <w:t xml:space="preserve">ension </w:t>
      </w:r>
      <w:r w:rsidR="00963934">
        <w:t>F</w:t>
      </w:r>
      <w:r w:rsidRPr="00C43446">
        <w:t>und</w:t>
      </w:r>
      <w:r w:rsidR="00236B70" w:rsidRPr="00C43446">
        <w:t>?</w:t>
      </w:r>
      <w:bookmarkEnd w:id="20"/>
      <w:r w:rsidR="00236B70" w:rsidRPr="00C43446">
        <w:t xml:space="preserve"> </w:t>
      </w:r>
      <w:bookmarkEnd w:id="21"/>
    </w:p>
    <w:p w14:paraId="70A1FBAD" w14:textId="30910F13" w:rsidR="00951E8F" w:rsidRDefault="00951E8F" w:rsidP="00951E8F">
      <w:pPr>
        <w:pStyle w:val="BodyTextGrey"/>
      </w:pPr>
      <w:r w:rsidRPr="005D5484">
        <w:t xml:space="preserve">The </w:t>
      </w:r>
      <w:r w:rsidR="00963934" w:rsidRPr="004F5C25">
        <w:t>Fund</w:t>
      </w:r>
      <w:r w:rsidR="0094196F" w:rsidRPr="004F5C25">
        <w:t xml:space="preserve"> </w:t>
      </w:r>
      <w:r w:rsidR="0094196F">
        <w:t xml:space="preserve">is </w:t>
      </w:r>
      <w:r w:rsidR="00963934">
        <w:t>p</w:t>
      </w:r>
      <w:r>
        <w:t xml:space="preserve">art of the </w:t>
      </w:r>
      <w:r w:rsidRPr="005D5484">
        <w:t>Local Government Pension Scheme (LGPS)</w:t>
      </w:r>
      <w:r w:rsidR="0085396D">
        <w:t>. Y</w:t>
      </w:r>
      <w:r w:rsidR="00BE36DB">
        <w:t xml:space="preserve">ou can find </w:t>
      </w:r>
      <w:r w:rsidR="00426A02">
        <w:t xml:space="preserve">more information about the </w:t>
      </w:r>
      <w:r w:rsidR="00BE36DB">
        <w:t>LGPS</w:t>
      </w:r>
      <w:r w:rsidR="00C43446">
        <w:t xml:space="preserve"> at </w:t>
      </w:r>
      <w:hyperlink r:id="rId17" w:history="1">
        <w:r w:rsidR="00C43446" w:rsidRPr="00BF76B8">
          <w:rPr>
            <w:rStyle w:val="Hyperlink"/>
          </w:rPr>
          <w:t>www.lgpsmember.org</w:t>
        </w:r>
      </w:hyperlink>
      <w:r w:rsidR="00C43446">
        <w:t xml:space="preserve">. </w:t>
      </w:r>
      <w:r w:rsidR="00942710">
        <w:t xml:space="preserve">The </w:t>
      </w:r>
      <w:r w:rsidR="00BE36DB" w:rsidRPr="00054EB4">
        <w:rPr>
          <w:color w:val="455560"/>
        </w:rPr>
        <w:t>a</w:t>
      </w:r>
      <w:r w:rsidR="00942710" w:rsidRPr="00054EB4">
        <w:rPr>
          <w:color w:val="455560"/>
        </w:rPr>
        <w:t xml:space="preserve">dministering </w:t>
      </w:r>
      <w:r w:rsidR="00BE36DB" w:rsidRPr="00054EB4">
        <w:rPr>
          <w:color w:val="455560"/>
        </w:rPr>
        <w:t>a</w:t>
      </w:r>
      <w:r w:rsidR="00942710" w:rsidRPr="00054EB4">
        <w:rPr>
          <w:color w:val="455560"/>
        </w:rPr>
        <w:t>uthority</w:t>
      </w:r>
      <w:r w:rsidR="00942710">
        <w:t xml:space="preserve"> runs the </w:t>
      </w:r>
      <w:r w:rsidR="00684CF8">
        <w:t>F</w:t>
      </w:r>
      <w:r w:rsidR="00942710">
        <w:t xml:space="preserve">und on behalf of </w:t>
      </w:r>
      <w:r w:rsidR="00BC574C">
        <w:t xml:space="preserve">participating </w:t>
      </w:r>
      <w:r w:rsidR="00942710">
        <w:t xml:space="preserve">employers, </w:t>
      </w:r>
      <w:r w:rsidR="00BC574C">
        <w:t xml:space="preserve">their </w:t>
      </w:r>
      <w:r w:rsidR="00942710">
        <w:t xml:space="preserve">employees and current and future pensioners. You can find out more about roles and responsibilities in </w:t>
      </w:r>
      <w:hyperlink w:anchor="AppendixB" w:history="1">
        <w:r w:rsidRPr="00EE46A9">
          <w:rPr>
            <w:rStyle w:val="Hyperlink"/>
          </w:rPr>
          <w:t>Appendix B</w:t>
        </w:r>
      </w:hyperlink>
      <w:r w:rsidRPr="00EE46A9">
        <w:t>.</w:t>
      </w:r>
    </w:p>
    <w:p w14:paraId="11410726" w14:textId="19B3EAB5" w:rsidR="00951E8F" w:rsidRPr="00C43446" w:rsidRDefault="00647E41" w:rsidP="00C43446">
      <w:pPr>
        <w:pStyle w:val="Heading2Num"/>
      </w:pPr>
      <w:bookmarkStart w:id="22" w:name="_Toc86162832"/>
      <w:bookmarkStart w:id="23" w:name="_Toc16078780"/>
      <w:r>
        <w:t>What are the f</w:t>
      </w:r>
      <w:r w:rsidR="00810443" w:rsidRPr="00C43446">
        <w:t>unding strategy objectives</w:t>
      </w:r>
      <w:bookmarkEnd w:id="22"/>
      <w:r>
        <w:t xml:space="preserve">? </w:t>
      </w:r>
      <w:r w:rsidR="00810443" w:rsidRPr="00C43446">
        <w:t xml:space="preserve"> </w:t>
      </w:r>
      <w:r w:rsidR="004C1B9D" w:rsidRPr="00C43446">
        <w:t xml:space="preserve"> </w:t>
      </w:r>
      <w:bookmarkEnd w:id="23"/>
    </w:p>
    <w:p w14:paraId="5772A9C4" w14:textId="5B10DD50" w:rsidR="009E5DBD" w:rsidRDefault="001A155C" w:rsidP="00951E8F">
      <w:pPr>
        <w:pStyle w:val="BodyTextGrey"/>
      </w:pPr>
      <w:r>
        <w:t>The funding strategy objectives</w:t>
      </w:r>
      <w:r w:rsidR="0045329B">
        <w:t xml:space="preserve"> </w:t>
      </w:r>
      <w:r>
        <w:t>are</w:t>
      </w:r>
      <w:r w:rsidR="00BC574C">
        <w:t xml:space="preserve"> to</w:t>
      </w:r>
      <w:r w:rsidR="00D87EA6">
        <w:t xml:space="preserve">: </w:t>
      </w:r>
      <w:r>
        <w:t xml:space="preserve">  </w:t>
      </w:r>
      <w:r w:rsidR="009E5DBD">
        <w:t xml:space="preserve"> </w:t>
      </w:r>
    </w:p>
    <w:p w14:paraId="739EC495" w14:textId="43A6A295" w:rsidR="00951E8F" w:rsidRPr="00690E1B" w:rsidRDefault="00902582" w:rsidP="00A147A8">
      <w:pPr>
        <w:pStyle w:val="BodyTextGrey"/>
        <w:numPr>
          <w:ilvl w:val="0"/>
          <w:numId w:val="12"/>
        </w:numPr>
      </w:pPr>
      <w:r w:rsidRPr="00690E1B">
        <w:t xml:space="preserve">take a </w:t>
      </w:r>
      <w:r w:rsidR="009E5DBD" w:rsidRPr="00690E1B">
        <w:t xml:space="preserve">prudent long-term view to </w:t>
      </w:r>
      <w:r w:rsidR="001A155C" w:rsidRPr="00690E1B">
        <w:t>secure</w:t>
      </w:r>
      <w:r w:rsidR="0017360E" w:rsidRPr="00690E1B">
        <w:t xml:space="preserve"> </w:t>
      </w:r>
      <w:r w:rsidR="00875300" w:rsidRPr="00690E1B">
        <w:t xml:space="preserve">the regulatory requirement for </w:t>
      </w:r>
      <w:r w:rsidR="0017360E" w:rsidRPr="00690E1B">
        <w:t>long-term solvency</w:t>
      </w:r>
      <w:r w:rsidR="00E06CA3" w:rsidRPr="00690E1B">
        <w:t>,</w:t>
      </w:r>
      <w:r w:rsidR="001A155C" w:rsidRPr="00690E1B">
        <w:t xml:space="preserve"> </w:t>
      </w:r>
      <w:r w:rsidR="00C83FAA" w:rsidRPr="00690E1B">
        <w:t xml:space="preserve">with </w:t>
      </w:r>
      <w:r w:rsidR="002B6B69" w:rsidRPr="00690E1B">
        <w:t xml:space="preserve">sufficient funds to pay benefits to members and their dependants </w:t>
      </w:r>
      <w:r w:rsidR="00E55D88">
        <w:t>(now and in the future)</w:t>
      </w:r>
    </w:p>
    <w:p w14:paraId="006D05A7" w14:textId="6A347869" w:rsidR="0045329B" w:rsidRPr="00690E1B" w:rsidRDefault="0045329B" w:rsidP="0045329B">
      <w:pPr>
        <w:pStyle w:val="BulletHymans"/>
        <w:numPr>
          <w:ilvl w:val="0"/>
          <w:numId w:val="12"/>
        </w:numPr>
      </w:pPr>
      <w:r w:rsidRPr="00690E1B">
        <w:t>use a balanced investment strategy to minimise long-term cash contributions from employers</w:t>
      </w:r>
      <w:r w:rsidR="00C15511" w:rsidRPr="00690E1B">
        <w:t xml:space="preserve"> and meet the regulatory requirement for long-term cost efficiency</w:t>
      </w:r>
    </w:p>
    <w:p w14:paraId="2CE88749" w14:textId="3AB54AE6" w:rsidR="00951E8F" w:rsidRPr="00690E1B" w:rsidRDefault="00A104C3" w:rsidP="00A147A8">
      <w:pPr>
        <w:pStyle w:val="BulletHymans"/>
        <w:numPr>
          <w:ilvl w:val="0"/>
          <w:numId w:val="12"/>
        </w:numPr>
      </w:pPr>
      <w:r w:rsidRPr="00690E1B">
        <w:t>where appropriate, e</w:t>
      </w:r>
      <w:r w:rsidR="00D67E3F" w:rsidRPr="00690E1B">
        <w:t xml:space="preserve">nsure stable </w:t>
      </w:r>
      <w:r w:rsidR="00951E8F" w:rsidRPr="00690E1B">
        <w:t>employer contribution rates</w:t>
      </w:r>
    </w:p>
    <w:p w14:paraId="1DA26E04" w14:textId="099DED76" w:rsidR="00951E8F" w:rsidRPr="00690E1B" w:rsidRDefault="00951E8F" w:rsidP="00A147A8">
      <w:pPr>
        <w:pStyle w:val="BulletHymans"/>
        <w:numPr>
          <w:ilvl w:val="0"/>
          <w:numId w:val="12"/>
        </w:numPr>
      </w:pPr>
      <w:r w:rsidRPr="00690E1B">
        <w:t xml:space="preserve">reflect different </w:t>
      </w:r>
      <w:r w:rsidR="00C83FAA" w:rsidRPr="00690E1B">
        <w:t xml:space="preserve">employers’ </w:t>
      </w:r>
      <w:r w:rsidRPr="00690E1B">
        <w:t xml:space="preserve">characteristics </w:t>
      </w:r>
      <w:r w:rsidR="00C83FAA" w:rsidRPr="00690E1B">
        <w:t xml:space="preserve">to </w:t>
      </w:r>
      <w:r w:rsidR="001A155C" w:rsidRPr="00690E1B">
        <w:t xml:space="preserve">set their </w:t>
      </w:r>
      <w:r w:rsidRPr="00690E1B">
        <w:t>contribution rates</w:t>
      </w:r>
      <w:r w:rsidR="002B6B69" w:rsidRPr="00690E1B">
        <w:t xml:space="preserve">, using a </w:t>
      </w:r>
      <w:r w:rsidRPr="00690E1B">
        <w:t xml:space="preserve">transparent funding strategy </w:t>
      </w:r>
    </w:p>
    <w:p w14:paraId="7B63544F" w14:textId="1A474003" w:rsidR="00951E8F" w:rsidRPr="00933835" w:rsidRDefault="00951E8F" w:rsidP="00A147A8">
      <w:pPr>
        <w:pStyle w:val="BulletHymans"/>
        <w:numPr>
          <w:ilvl w:val="0"/>
          <w:numId w:val="12"/>
        </w:numPr>
      </w:pPr>
      <w:r w:rsidRPr="00690E1B">
        <w:t xml:space="preserve">use reasonable measures to reduce the risk </w:t>
      </w:r>
      <w:r w:rsidR="00272343" w:rsidRPr="00690E1B">
        <w:t>of</w:t>
      </w:r>
      <w:r w:rsidR="00202117" w:rsidRPr="00690E1B">
        <w:t xml:space="preserve"> an employer default</w:t>
      </w:r>
      <w:r w:rsidR="00272343" w:rsidRPr="00690E1B">
        <w:t>ing</w:t>
      </w:r>
      <w:r w:rsidR="00202117" w:rsidRPr="00690E1B">
        <w:t xml:space="preserve"> on its </w:t>
      </w:r>
      <w:r w:rsidRPr="00690E1B">
        <w:t>pension obligations.</w:t>
      </w:r>
    </w:p>
    <w:p w14:paraId="4CB850B3" w14:textId="0EC84477" w:rsidR="003C5D9A" w:rsidRPr="004F5C25" w:rsidRDefault="00586158" w:rsidP="00933835">
      <w:pPr>
        <w:pStyle w:val="BulletHymans"/>
        <w:numPr>
          <w:ilvl w:val="0"/>
          <w:numId w:val="0"/>
        </w:numPr>
      </w:pPr>
      <w:r w:rsidRPr="004F5C25">
        <w:t xml:space="preserve">The Fund will </w:t>
      </w:r>
      <w:r w:rsidR="00985C07" w:rsidRPr="004F5C25">
        <w:t xml:space="preserve">engage with employers </w:t>
      </w:r>
      <w:r w:rsidR="00690E1B" w:rsidRPr="004F5C25">
        <w:t xml:space="preserve">when </w:t>
      </w:r>
      <w:r w:rsidR="00E3213D" w:rsidRPr="004F5C25">
        <w:t>develop</w:t>
      </w:r>
      <w:r w:rsidR="00985C07" w:rsidRPr="004F5C25">
        <w:t>ing</w:t>
      </w:r>
      <w:r w:rsidR="00E3213D" w:rsidRPr="004F5C25">
        <w:t xml:space="preserve"> funding strategy </w:t>
      </w:r>
      <w:r w:rsidR="00985C07" w:rsidRPr="004F5C25">
        <w:t>in a way which balances the risk appetite of stakeholders</w:t>
      </w:r>
      <w:r w:rsidR="00690E1B" w:rsidRPr="004F5C25">
        <w:t>.</w:t>
      </w:r>
    </w:p>
    <w:p w14:paraId="6392963E" w14:textId="052E74DC" w:rsidR="00951E8F" w:rsidRPr="00C43446" w:rsidRDefault="00951E8F" w:rsidP="00786AE2">
      <w:pPr>
        <w:pStyle w:val="Heading2Num"/>
      </w:pPr>
      <w:bookmarkStart w:id="24" w:name="_Toc86162833"/>
      <w:r w:rsidRPr="00C43446">
        <w:t xml:space="preserve">Who </w:t>
      </w:r>
      <w:r w:rsidR="00F80C60" w:rsidRPr="00C43446">
        <w:t>is the FSS for?</w:t>
      </w:r>
      <w:bookmarkEnd w:id="24"/>
      <w:r w:rsidR="00F80C60" w:rsidRPr="00C43446">
        <w:t xml:space="preserve"> </w:t>
      </w:r>
    </w:p>
    <w:p w14:paraId="2BE72525" w14:textId="24B05B5B" w:rsidR="00202117" w:rsidRDefault="00951E8F" w:rsidP="00951E8F">
      <w:pPr>
        <w:pStyle w:val="BodyTextGrey"/>
      </w:pPr>
      <w:r>
        <w:t>The</w:t>
      </w:r>
      <w:r w:rsidR="003D6964">
        <w:t xml:space="preserve"> </w:t>
      </w:r>
      <w:r w:rsidR="005763C8">
        <w:t xml:space="preserve">FSS is mainly </w:t>
      </w:r>
      <w:r w:rsidR="00FC5F77">
        <w:t>for employer</w:t>
      </w:r>
      <w:r w:rsidR="00173C94">
        <w:t xml:space="preserve">s participating in </w:t>
      </w:r>
      <w:r w:rsidR="00FC5F77">
        <w:t xml:space="preserve">the </w:t>
      </w:r>
      <w:r w:rsidR="00914867">
        <w:t>F</w:t>
      </w:r>
      <w:r w:rsidR="00FC5F77">
        <w:t>und</w:t>
      </w:r>
      <w:r w:rsidR="00272343">
        <w:t xml:space="preserve">, </w:t>
      </w:r>
      <w:r w:rsidR="00FC5F77">
        <w:t>because it sets out how money will be collected</w:t>
      </w:r>
      <w:r w:rsidR="00173C94">
        <w:t xml:space="preserve"> from them</w:t>
      </w:r>
      <w:r w:rsidR="00FC5F77">
        <w:t xml:space="preserve"> to meet the </w:t>
      </w:r>
      <w:r w:rsidR="00914867">
        <w:t>F</w:t>
      </w:r>
      <w:r w:rsidR="00FC5F77">
        <w:t>und’s o</w:t>
      </w:r>
      <w:r w:rsidR="003D6964">
        <w:t>bligations</w:t>
      </w:r>
      <w:r w:rsidR="005B6DF1">
        <w:t xml:space="preserve"> to pay members’ benefits</w:t>
      </w:r>
      <w:r w:rsidR="00202117">
        <w:t xml:space="preserve">. </w:t>
      </w:r>
    </w:p>
    <w:p w14:paraId="44E5C1AF" w14:textId="1CAD713A" w:rsidR="00951E8F" w:rsidRDefault="008642D4" w:rsidP="00951E8F">
      <w:pPr>
        <w:pStyle w:val="BodyTextGrey"/>
      </w:pPr>
      <w:r>
        <w:t xml:space="preserve">Different </w:t>
      </w:r>
      <w:r w:rsidR="00783238">
        <w:t xml:space="preserve">types </w:t>
      </w:r>
      <w:r>
        <w:t xml:space="preserve">of employers </w:t>
      </w:r>
      <w:r w:rsidR="00173C94">
        <w:t xml:space="preserve">participate in </w:t>
      </w:r>
      <w:r>
        <w:t xml:space="preserve">the </w:t>
      </w:r>
      <w:r w:rsidR="00723B1D">
        <w:t>F</w:t>
      </w:r>
      <w:r>
        <w:t>und</w:t>
      </w:r>
      <w:r w:rsidR="00272343">
        <w:t xml:space="preserve">: </w:t>
      </w:r>
    </w:p>
    <w:p w14:paraId="6F3D3FB5" w14:textId="77777777" w:rsidR="00202117" w:rsidRDefault="00951E8F" w:rsidP="00E21B8B">
      <w:pPr>
        <w:pStyle w:val="Heading3"/>
        <w:spacing w:after="0" w:line="240" w:lineRule="auto"/>
        <w:ind w:firstLine="720"/>
      </w:pPr>
      <w:bookmarkStart w:id="25" w:name="_Toc86162834"/>
      <w:r w:rsidRPr="00276A73">
        <w:t>Scheduled bodies</w:t>
      </w:r>
      <w:bookmarkEnd w:id="25"/>
      <w:r>
        <w:t xml:space="preserve"> </w:t>
      </w:r>
    </w:p>
    <w:p w14:paraId="3D44362F" w14:textId="71C9D811" w:rsidR="00951E8F" w:rsidRDefault="008642D4" w:rsidP="008A2E09">
      <w:pPr>
        <w:pStyle w:val="BodyTextGrey"/>
        <w:ind w:left="720"/>
      </w:pPr>
      <w:r>
        <w:t>Employers who are s</w:t>
      </w:r>
      <w:r w:rsidR="00EC5C47">
        <w:t xml:space="preserve">pecified </w:t>
      </w:r>
      <w:r w:rsidR="00114C8D">
        <w:t>in a schedule to the LGPS regulations</w:t>
      </w:r>
      <w:r w:rsidR="00AE58D1">
        <w:t xml:space="preserve">, including </w:t>
      </w:r>
      <w:r w:rsidR="00951E8F">
        <w:t>councils</w:t>
      </w:r>
      <w:r w:rsidR="003D6964">
        <w:t xml:space="preserve"> and </w:t>
      </w:r>
      <w:r w:rsidR="00951E8F">
        <w:t xml:space="preserve">employers </w:t>
      </w:r>
      <w:r w:rsidR="00202117">
        <w:t>like a</w:t>
      </w:r>
      <w:r w:rsidR="00951E8F">
        <w:t xml:space="preserve">cademies and further education establishments. </w:t>
      </w:r>
      <w:r w:rsidR="00420B6E">
        <w:t>Scheduled bodies must give</w:t>
      </w:r>
      <w:r w:rsidR="00202117">
        <w:t xml:space="preserve"> employees access to </w:t>
      </w:r>
      <w:r w:rsidR="00420B6E">
        <w:t>the L</w:t>
      </w:r>
      <w:r w:rsidR="00951E8F">
        <w:t>GPS</w:t>
      </w:r>
      <w:r w:rsidR="00202117">
        <w:t xml:space="preserve"> </w:t>
      </w:r>
      <w:r w:rsidR="0071488D">
        <w:t xml:space="preserve">if </w:t>
      </w:r>
      <w:r w:rsidR="001F0DB7">
        <w:t xml:space="preserve">they can’t </w:t>
      </w:r>
      <w:r w:rsidR="00737DCA">
        <w:t>accrue benefits in</w:t>
      </w:r>
      <w:r w:rsidR="001F0DB7">
        <w:t xml:space="preserve"> another pension</w:t>
      </w:r>
      <w:r w:rsidR="00783238">
        <w:t xml:space="preserve"> scheme</w:t>
      </w:r>
      <w:r w:rsidR="001F0DB7">
        <w:t xml:space="preserve">, such as </w:t>
      </w:r>
      <w:r w:rsidR="005B6DF1">
        <w:t>another public service pension</w:t>
      </w:r>
      <w:r w:rsidR="00420B6E">
        <w:t xml:space="preserve"> scheme</w:t>
      </w:r>
      <w:r w:rsidR="00EC5C47">
        <w:t xml:space="preserve">. </w:t>
      </w:r>
    </w:p>
    <w:p w14:paraId="734C771C" w14:textId="44DD7644" w:rsidR="00202117" w:rsidRDefault="00951E8F" w:rsidP="00E21B8B">
      <w:pPr>
        <w:pStyle w:val="Heading3"/>
        <w:spacing w:after="0" w:line="240" w:lineRule="auto"/>
        <w:ind w:firstLine="720"/>
      </w:pPr>
      <w:bookmarkStart w:id="26" w:name="_Toc86162835"/>
      <w:r w:rsidRPr="00276A73">
        <w:t>Designating employers</w:t>
      </w:r>
      <w:bookmarkEnd w:id="26"/>
      <w:r>
        <w:t xml:space="preserve"> </w:t>
      </w:r>
      <w:r w:rsidR="00861D27">
        <w:t>(</w:t>
      </w:r>
      <w:r w:rsidR="00DA1BA7">
        <w:t xml:space="preserve">otherwise known as </w:t>
      </w:r>
      <w:r w:rsidR="003F4006">
        <w:t>r</w:t>
      </w:r>
      <w:r w:rsidR="00861D27">
        <w:t xml:space="preserve">esolution </w:t>
      </w:r>
      <w:r w:rsidR="00D546E7">
        <w:t>b</w:t>
      </w:r>
      <w:r w:rsidR="00861D27">
        <w:t>odies)</w:t>
      </w:r>
    </w:p>
    <w:p w14:paraId="7CDF7A38" w14:textId="7F0EF161" w:rsidR="00951E8F" w:rsidRPr="00331ADD" w:rsidRDefault="00202117" w:rsidP="008A2E09">
      <w:pPr>
        <w:pStyle w:val="BodyTextGrey"/>
        <w:ind w:left="720"/>
      </w:pPr>
      <w:r>
        <w:t>E</w:t>
      </w:r>
      <w:r w:rsidR="00114C8D">
        <w:t xml:space="preserve">mployers like </w:t>
      </w:r>
      <w:r w:rsidR="00951E8F">
        <w:t xml:space="preserve">town and parish councils </w:t>
      </w:r>
      <w:r>
        <w:t xml:space="preserve">can join the </w:t>
      </w:r>
      <w:r w:rsidR="00951E8F">
        <w:t xml:space="preserve">LGPS </w:t>
      </w:r>
      <w:r w:rsidR="00114C8D">
        <w:t xml:space="preserve">through a resolution. </w:t>
      </w:r>
      <w:r>
        <w:t xml:space="preserve">If a resolution is passed, the </w:t>
      </w:r>
      <w:r w:rsidR="003F4006">
        <w:t>F</w:t>
      </w:r>
      <w:r>
        <w:t xml:space="preserve">und can’t </w:t>
      </w:r>
      <w:r w:rsidR="009E3F32">
        <w:t>refuse entry</w:t>
      </w:r>
      <w:r>
        <w:t>. The employer then decide</w:t>
      </w:r>
      <w:r w:rsidR="00AE58D1">
        <w:t>s</w:t>
      </w:r>
      <w:r>
        <w:t xml:space="preserve"> </w:t>
      </w:r>
      <w:r w:rsidR="001F0DB7">
        <w:t xml:space="preserve">which </w:t>
      </w:r>
      <w:r>
        <w:t>employees</w:t>
      </w:r>
      <w:r w:rsidR="00737DCA">
        <w:t xml:space="preserve"> </w:t>
      </w:r>
      <w:r w:rsidR="0071488D">
        <w:t xml:space="preserve">can </w:t>
      </w:r>
      <w:r w:rsidR="00951E8F">
        <w:t>join the scheme.</w:t>
      </w:r>
    </w:p>
    <w:p w14:paraId="677B4FC1" w14:textId="77777777" w:rsidR="00202117" w:rsidRDefault="009E3F32" w:rsidP="00E21B8B">
      <w:pPr>
        <w:pStyle w:val="Heading3"/>
        <w:spacing w:after="0" w:line="240" w:lineRule="auto"/>
        <w:ind w:firstLine="720"/>
      </w:pPr>
      <w:bookmarkStart w:id="27" w:name="_Toc86162836"/>
      <w:r>
        <w:lastRenderedPageBreak/>
        <w:t>Admission bodies</w:t>
      </w:r>
      <w:bookmarkEnd w:id="27"/>
      <w:r>
        <w:t xml:space="preserve"> </w:t>
      </w:r>
    </w:p>
    <w:p w14:paraId="613F92D5" w14:textId="7B4F1EE7" w:rsidR="00A64349" w:rsidRDefault="00202117" w:rsidP="00A64349">
      <w:pPr>
        <w:pStyle w:val="BodyTextGrey"/>
        <w:ind w:left="720"/>
      </w:pPr>
      <w:r>
        <w:t>O</w:t>
      </w:r>
      <w:r w:rsidR="00236298">
        <w:t xml:space="preserve">ther </w:t>
      </w:r>
      <w:r w:rsidR="00951E8F">
        <w:t xml:space="preserve">employers </w:t>
      </w:r>
      <w:r w:rsidR="00236298">
        <w:t xml:space="preserve">can </w:t>
      </w:r>
      <w:r w:rsidR="001F0DB7">
        <w:t xml:space="preserve">join </w:t>
      </w:r>
      <w:r>
        <w:t xml:space="preserve">through </w:t>
      </w:r>
      <w:r w:rsidR="00236298">
        <w:t>an</w:t>
      </w:r>
      <w:r w:rsidR="00951E8F">
        <w:t xml:space="preserve"> admission agreement</w:t>
      </w:r>
      <w:r w:rsidR="00236298">
        <w:t xml:space="preserve">. The </w:t>
      </w:r>
      <w:r w:rsidR="003F4006">
        <w:t>F</w:t>
      </w:r>
      <w:r w:rsidR="00236298">
        <w:t xml:space="preserve">und can set participation </w:t>
      </w:r>
      <w:r w:rsidR="00951E8F">
        <w:t xml:space="preserve">criteria </w:t>
      </w:r>
      <w:r w:rsidR="00236298">
        <w:t xml:space="preserve">for </w:t>
      </w:r>
      <w:r w:rsidR="00951E8F">
        <w:t>th</w:t>
      </w:r>
      <w:r w:rsidR="00577C5C">
        <w:t>e</w:t>
      </w:r>
      <w:r w:rsidR="0071488D">
        <w:t xml:space="preserve">m and </w:t>
      </w:r>
      <w:r w:rsidR="00951E8F">
        <w:t xml:space="preserve">can refuse entry if the requirements </w:t>
      </w:r>
      <w:r w:rsidR="000B61CC">
        <w:t xml:space="preserve">aren’t </w:t>
      </w:r>
      <w:r w:rsidR="00951E8F">
        <w:t xml:space="preserve">met. </w:t>
      </w:r>
      <w:r w:rsidR="00737DCA">
        <w:t xml:space="preserve">This type of employer includes contractors providing outsourced services like cleaning or catering to a scheduled body. </w:t>
      </w:r>
    </w:p>
    <w:p w14:paraId="2BA71D6F" w14:textId="6772F431" w:rsidR="00951E8F" w:rsidRDefault="00CE539A" w:rsidP="00951E8F">
      <w:pPr>
        <w:pStyle w:val="BodyTextGrey"/>
      </w:pPr>
      <w:r>
        <w:t xml:space="preserve">Some </w:t>
      </w:r>
      <w:r w:rsidR="005B6DF1">
        <w:t xml:space="preserve">existing </w:t>
      </w:r>
      <w:r w:rsidR="00951E8F">
        <w:t xml:space="preserve">employers </w:t>
      </w:r>
      <w:r w:rsidR="005B6DF1">
        <w:t>may be referred to as</w:t>
      </w:r>
      <w:r w:rsidR="00D3740F">
        <w:t xml:space="preserve"> </w:t>
      </w:r>
      <w:r w:rsidR="00D3740F">
        <w:rPr>
          <w:b/>
          <w:bCs/>
        </w:rPr>
        <w:t>c</w:t>
      </w:r>
      <w:r w:rsidR="00951E8F" w:rsidRPr="00196D1B">
        <w:rPr>
          <w:b/>
          <w:bCs/>
        </w:rPr>
        <w:t>ommunity admission bod</w:t>
      </w:r>
      <w:r w:rsidR="000C5910">
        <w:rPr>
          <w:b/>
          <w:bCs/>
        </w:rPr>
        <w:t xml:space="preserve">ies </w:t>
      </w:r>
      <w:r w:rsidR="003509E7">
        <w:t>(</w:t>
      </w:r>
      <w:r w:rsidR="00951E8F">
        <w:t>CAB</w:t>
      </w:r>
      <w:r w:rsidR="00577C5C">
        <w:t>s</w:t>
      </w:r>
      <w:r w:rsidR="003509E7">
        <w:t>)</w:t>
      </w:r>
      <w:r w:rsidR="000C5910">
        <w:t xml:space="preserve">. CABs are </w:t>
      </w:r>
      <w:r w:rsidR="003509E7">
        <w:t>employers w</w:t>
      </w:r>
      <w:r w:rsidR="00951E8F">
        <w:t>ith a community of interest with another scheme employer</w:t>
      </w:r>
      <w:r w:rsidR="000C5910">
        <w:t>. Others</w:t>
      </w:r>
      <w:r w:rsidR="0044073A">
        <w:t xml:space="preserve"> </w:t>
      </w:r>
      <w:r w:rsidR="000C5910">
        <w:t>may be</w:t>
      </w:r>
      <w:r w:rsidR="005B6DF1">
        <w:t xml:space="preserve"> called</w:t>
      </w:r>
      <w:r w:rsidR="000C5910">
        <w:t xml:space="preserve"> </w:t>
      </w:r>
      <w:r w:rsidR="00951E8F" w:rsidRPr="00196D1B">
        <w:rPr>
          <w:b/>
          <w:bCs/>
        </w:rPr>
        <w:t>transferee admission bod</w:t>
      </w:r>
      <w:r w:rsidR="000C5910">
        <w:rPr>
          <w:b/>
          <w:bCs/>
        </w:rPr>
        <w:t xml:space="preserve">ies </w:t>
      </w:r>
      <w:r w:rsidR="003509E7">
        <w:t>(TAB</w:t>
      </w:r>
      <w:r w:rsidR="009B6778">
        <w:t>s</w:t>
      </w:r>
      <w:r w:rsidR="003509E7">
        <w:t>)</w:t>
      </w:r>
      <w:r w:rsidR="00D3740F">
        <w:t xml:space="preserve">, that </w:t>
      </w:r>
      <w:r w:rsidR="000C5910">
        <w:t xml:space="preserve">provide services for </w:t>
      </w:r>
      <w:r w:rsidR="00951E8F">
        <w:t>scheme employer</w:t>
      </w:r>
      <w:r w:rsidR="000C5910">
        <w:t>s</w:t>
      </w:r>
      <w:r w:rsidR="00951E8F">
        <w:t>.</w:t>
      </w:r>
      <w:r w:rsidR="0044073A">
        <w:t xml:space="preserve"> </w:t>
      </w:r>
      <w:r w:rsidR="00D3740F">
        <w:t xml:space="preserve">These terms aren’t </w:t>
      </w:r>
      <w:r w:rsidR="0044073A">
        <w:t>defined under current regulations but remain in common use from previous regulations.</w:t>
      </w:r>
    </w:p>
    <w:p w14:paraId="16A53D70" w14:textId="7E1E2550" w:rsidR="00A64349" w:rsidRDefault="00A64349" w:rsidP="00951E8F">
      <w:pPr>
        <w:pStyle w:val="BodyTextGrey"/>
      </w:pPr>
      <w:r>
        <w:t xml:space="preserve">The </w:t>
      </w:r>
      <w:r w:rsidRPr="003D132B">
        <w:t>Scheme Advisory Board refer</w:t>
      </w:r>
      <w:r w:rsidR="00921DC6">
        <w:t>s</w:t>
      </w:r>
      <w:r>
        <w:t xml:space="preserve"> to </w:t>
      </w:r>
      <w:r w:rsidR="00016DCC">
        <w:t>three different tiers of employers which may participate in the LGPS, specifically:</w:t>
      </w:r>
    </w:p>
    <w:p w14:paraId="255BAF0C" w14:textId="2AD25F10" w:rsidR="00016DCC" w:rsidRDefault="00016DCC" w:rsidP="00016DCC">
      <w:pPr>
        <w:pStyle w:val="BodyTextGrey"/>
        <w:numPr>
          <w:ilvl w:val="0"/>
          <w:numId w:val="45"/>
        </w:numPr>
      </w:pPr>
      <w:r>
        <w:t>Tier 1 – Local Authorities</w:t>
      </w:r>
      <w:r w:rsidR="00431AF9">
        <w:t xml:space="preserve"> (including contractors participating in the LGPS with </w:t>
      </w:r>
      <w:r w:rsidR="00F76037">
        <w:t>Local Authority backing)</w:t>
      </w:r>
    </w:p>
    <w:p w14:paraId="76EAFC03" w14:textId="6E311F5B" w:rsidR="00016DCC" w:rsidRDefault="00016DCC" w:rsidP="00016DCC">
      <w:pPr>
        <w:pStyle w:val="BodyTextGrey"/>
        <w:numPr>
          <w:ilvl w:val="0"/>
          <w:numId w:val="45"/>
        </w:numPr>
      </w:pPr>
      <w:r>
        <w:t>Tier 2 – Academy Trusts</w:t>
      </w:r>
      <w:r w:rsidR="000D2531">
        <w:t xml:space="preserve"> and Further Education Institutions (Colleges).</w:t>
      </w:r>
    </w:p>
    <w:p w14:paraId="3D744711" w14:textId="10C5297A" w:rsidR="00F76037" w:rsidRDefault="00016DCC" w:rsidP="00016DCC">
      <w:pPr>
        <w:pStyle w:val="BodyTextGrey"/>
        <w:numPr>
          <w:ilvl w:val="0"/>
          <w:numId w:val="45"/>
        </w:numPr>
      </w:pPr>
      <w:r>
        <w:t>Tier 3 –</w:t>
      </w:r>
      <w:r w:rsidR="00431AF9">
        <w:t xml:space="preserve"> </w:t>
      </w:r>
      <w:r w:rsidR="00F76037">
        <w:t>Standalone e</w:t>
      </w:r>
      <w:r w:rsidR="00431AF9">
        <w:t xml:space="preserve">mployers with no </w:t>
      </w:r>
      <w:r w:rsidR="00431AF9" w:rsidRPr="00431AF9">
        <w:t>local or national taxpayer backing</w:t>
      </w:r>
      <w:r w:rsidR="00F76037">
        <w:t xml:space="preserve">. Include </w:t>
      </w:r>
      <w:r w:rsidR="00431AF9" w:rsidRPr="00431AF9">
        <w:t>universities</w:t>
      </w:r>
      <w:r w:rsidR="000D2531">
        <w:t xml:space="preserve">, </w:t>
      </w:r>
      <w:r w:rsidR="00431AF9" w:rsidRPr="00431AF9">
        <w:t>housing associations and charities</w:t>
      </w:r>
      <w:r w:rsidR="00F76037">
        <w:t>.</w:t>
      </w:r>
    </w:p>
    <w:p w14:paraId="24BFF014" w14:textId="651D9CAF" w:rsidR="00137BB9" w:rsidRPr="00137BB9" w:rsidRDefault="00137BB9" w:rsidP="00137BB9">
      <w:pPr>
        <w:pStyle w:val="Heading2Num"/>
      </w:pPr>
      <w:r w:rsidRPr="00137BB9">
        <w:t xml:space="preserve">How </w:t>
      </w:r>
      <w:r>
        <w:t>is</w:t>
      </w:r>
      <w:r w:rsidRPr="00137BB9">
        <w:t xml:space="preserve"> the funding strategy specific to the </w:t>
      </w:r>
      <w:r w:rsidR="00B01210" w:rsidRPr="004F5C25">
        <w:t xml:space="preserve">London Borough of Enfield </w:t>
      </w:r>
      <w:r w:rsidR="0070722C">
        <w:t>P</w:t>
      </w:r>
      <w:r w:rsidRPr="004F5C25">
        <w:t xml:space="preserve">ension </w:t>
      </w:r>
      <w:r w:rsidR="0070722C">
        <w:t>F</w:t>
      </w:r>
      <w:r w:rsidRPr="004F5C25">
        <w:t>und</w:t>
      </w:r>
      <w:r w:rsidRPr="00137BB9">
        <w:t>?</w:t>
      </w:r>
    </w:p>
    <w:p w14:paraId="7269EFED" w14:textId="3C10D61E" w:rsidR="00137BB9" w:rsidRPr="00137BB9" w:rsidRDefault="00137BB9" w:rsidP="00137BB9">
      <w:pPr>
        <w:pStyle w:val="BodyTextGrey"/>
      </w:pPr>
      <w:r w:rsidRPr="00137BB9">
        <w:t xml:space="preserve">The funding strategy reflects the </w:t>
      </w:r>
      <w:r w:rsidR="00C317A9">
        <w:t>specific characteristics</w:t>
      </w:r>
      <w:r w:rsidRPr="00137BB9">
        <w:t xml:space="preserve"> of </w:t>
      </w:r>
      <w:r w:rsidR="00C317A9">
        <w:t xml:space="preserve">the </w:t>
      </w:r>
      <w:r w:rsidR="0070722C">
        <w:t>F</w:t>
      </w:r>
      <w:r w:rsidR="00C317A9">
        <w:t xml:space="preserve">und </w:t>
      </w:r>
      <w:r w:rsidRPr="00137BB9">
        <w:t>employer</w:t>
      </w:r>
      <w:r w:rsidR="00C317A9">
        <w:t>s</w:t>
      </w:r>
      <w:r w:rsidR="0066574D">
        <w:t xml:space="preserve"> and its own investment strategy</w:t>
      </w:r>
      <w:r w:rsidRPr="00137BB9">
        <w:t xml:space="preserve">. </w:t>
      </w:r>
    </w:p>
    <w:p w14:paraId="51510D33" w14:textId="7A868988" w:rsidR="0064285B" w:rsidRPr="00137BB9" w:rsidRDefault="00B013A9" w:rsidP="00A92CDE">
      <w:pPr>
        <w:pStyle w:val="Heading2Num"/>
        <w:tabs>
          <w:tab w:val="clear" w:pos="709"/>
          <w:tab w:val="num" w:pos="567"/>
        </w:tabs>
        <w:ind w:left="567"/>
      </w:pPr>
      <w:r>
        <w:t xml:space="preserve">How often is the </w:t>
      </w:r>
      <w:r w:rsidR="0064285B">
        <w:t>Funding Strategy Statement</w:t>
      </w:r>
      <w:r>
        <w:t xml:space="preserve"> reviewed?</w:t>
      </w:r>
    </w:p>
    <w:p w14:paraId="005F24C9" w14:textId="6E374359" w:rsidR="00A47DC4" w:rsidRDefault="0064285B" w:rsidP="0064285B">
      <w:pPr>
        <w:pStyle w:val="BodyTextGrey"/>
      </w:pPr>
      <w:r>
        <w:t xml:space="preserve">The FSS is reviewed in detail at least every three years </w:t>
      </w:r>
      <w:r w:rsidR="00F66879">
        <w:t>in line with</w:t>
      </w:r>
      <w:r w:rsidR="00A47DC4">
        <w:t xml:space="preserve"> </w:t>
      </w:r>
      <w:r>
        <w:t>t</w:t>
      </w:r>
      <w:r w:rsidRPr="00970CE0">
        <w:t xml:space="preserve">he </w:t>
      </w:r>
      <w:r w:rsidR="00A47DC4" w:rsidRPr="00970CE0">
        <w:t xml:space="preserve">triennial actuarial </w:t>
      </w:r>
      <w:r w:rsidRPr="00970CE0">
        <w:t>valuation</w:t>
      </w:r>
      <w:r w:rsidR="00534DC6" w:rsidRPr="00970CE0">
        <w:t xml:space="preserve"> </w:t>
      </w:r>
      <w:r w:rsidR="00534DC6" w:rsidRPr="00D32DB7">
        <w:t>and an annual check is carried out in the intervening years</w:t>
      </w:r>
      <w:r w:rsidR="00534DC6" w:rsidRPr="00970CE0">
        <w:t>.</w:t>
      </w:r>
    </w:p>
    <w:p w14:paraId="0F1722DA" w14:textId="51A3230B" w:rsidR="00F047C9" w:rsidRPr="003B0E27" w:rsidRDefault="0064285B" w:rsidP="0064285B">
      <w:pPr>
        <w:pStyle w:val="BodyTextGrey"/>
      </w:pPr>
      <w:r w:rsidRPr="003B0E27">
        <w:t xml:space="preserve">Amendments </w:t>
      </w:r>
      <w:r w:rsidR="00F731E4" w:rsidRPr="003B0E27">
        <w:t xml:space="preserve">to the FSS may be </w:t>
      </w:r>
      <w:r w:rsidR="0024092C">
        <w:t xml:space="preserve">made </w:t>
      </w:r>
      <w:r w:rsidR="00F047C9" w:rsidRPr="003B0E27">
        <w:t>in the following circumstances:</w:t>
      </w:r>
    </w:p>
    <w:p w14:paraId="2E9BB07F" w14:textId="77777777" w:rsidR="00E31F99" w:rsidRPr="003B0E27" w:rsidRDefault="00E31F99" w:rsidP="00A92CDE">
      <w:pPr>
        <w:pStyle w:val="BodyTextGrey"/>
        <w:numPr>
          <w:ilvl w:val="0"/>
          <w:numId w:val="45"/>
        </w:numPr>
      </w:pPr>
      <w:r w:rsidRPr="003B0E27">
        <w:t>material changes to the scheme benefit structure (e.g. HM Treasury-led)</w:t>
      </w:r>
    </w:p>
    <w:p w14:paraId="25CED6D9" w14:textId="7A8432C9" w:rsidR="00E31F99" w:rsidRPr="003B0E27" w:rsidRDefault="00E31F99" w:rsidP="00A92CDE">
      <w:pPr>
        <w:pStyle w:val="BodyTextGrey"/>
        <w:numPr>
          <w:ilvl w:val="0"/>
          <w:numId w:val="45"/>
        </w:numPr>
      </w:pPr>
      <w:r w:rsidRPr="003B0E27">
        <w:t xml:space="preserve">on the advice of the </w:t>
      </w:r>
      <w:r w:rsidR="009A7BED">
        <w:t>F</w:t>
      </w:r>
      <w:r w:rsidRPr="003B0E27">
        <w:t xml:space="preserve">und actuary </w:t>
      </w:r>
    </w:p>
    <w:p w14:paraId="0B150D17" w14:textId="3C9D4866" w:rsidR="00E31F99" w:rsidRPr="003B0E27" w:rsidRDefault="009A7BED" w:rsidP="00A92CDE">
      <w:pPr>
        <w:pStyle w:val="BodyTextGrey"/>
        <w:numPr>
          <w:ilvl w:val="0"/>
          <w:numId w:val="45"/>
        </w:numPr>
      </w:pPr>
      <w:r>
        <w:t>s</w:t>
      </w:r>
      <w:r w:rsidR="00E31F99" w:rsidRPr="003B0E27">
        <w:t xml:space="preserve">ignificant changes to investment strategy or if there has been significant market volatility which impacts the FSS or goes beyond </w:t>
      </w:r>
      <w:r w:rsidR="005B1742">
        <w:t xml:space="preserve">the </w:t>
      </w:r>
      <w:r w:rsidR="00E31F99" w:rsidRPr="003B0E27">
        <w:t>FSS</w:t>
      </w:r>
      <w:r w:rsidR="005B1742">
        <w:t>’s</w:t>
      </w:r>
      <w:r w:rsidR="00E31F99" w:rsidRPr="003B0E27">
        <w:t xml:space="preserve"> expectation</w:t>
      </w:r>
      <w:r w:rsidR="005B1742">
        <w:t>s</w:t>
      </w:r>
    </w:p>
    <w:p w14:paraId="41A3DF0E" w14:textId="0DE292D5" w:rsidR="00E31F99" w:rsidRPr="003B0E27" w:rsidRDefault="00E31F99" w:rsidP="00A92CDE">
      <w:pPr>
        <w:pStyle w:val="BodyTextGrey"/>
        <w:numPr>
          <w:ilvl w:val="0"/>
          <w:numId w:val="45"/>
        </w:numPr>
      </w:pPr>
      <w:r w:rsidRPr="003B0E27">
        <w:t xml:space="preserve">if there have been significant changes to the </w:t>
      </w:r>
      <w:r w:rsidR="005B1742">
        <w:t>F</w:t>
      </w:r>
      <w:r w:rsidRPr="003B0E27">
        <w:t>und membership and/or</w:t>
      </w:r>
      <w:r w:rsidR="005B1742">
        <w:t xml:space="preserve"> F</w:t>
      </w:r>
      <w:r w:rsidRPr="003B0E27">
        <w:t>und maturity profile</w:t>
      </w:r>
    </w:p>
    <w:p w14:paraId="46B102AA" w14:textId="7AA48E95" w:rsidR="00E31F99" w:rsidRPr="003B0E27" w:rsidRDefault="00E31F99" w:rsidP="00A92CDE">
      <w:pPr>
        <w:pStyle w:val="BodyTextGrey"/>
        <w:numPr>
          <w:ilvl w:val="0"/>
          <w:numId w:val="45"/>
        </w:numPr>
      </w:pPr>
      <w:r w:rsidRPr="003B0E27">
        <w:t>if there have been significant or notable changes to the number, type, or individual circumstances of any of the employing authorities to such an extent that they impact on the funding strategy (</w:t>
      </w:r>
      <w:r w:rsidR="00EE4DE7" w:rsidRPr="003B0E27">
        <w:t>e.g.</w:t>
      </w:r>
      <w:r w:rsidRPr="003B0E27">
        <w:t xml:space="preserve"> </w:t>
      </w:r>
      <w:r w:rsidR="00EE4DE7">
        <w:t xml:space="preserve">where a </w:t>
      </w:r>
      <w:r w:rsidRPr="003B0E27">
        <w:t>restructuring</w:t>
      </w:r>
      <w:r w:rsidR="00EE4DE7">
        <w:t xml:space="preserve"> </w:t>
      </w:r>
      <w:r w:rsidRPr="003B0E27">
        <w:t>materially impact</w:t>
      </w:r>
      <w:r w:rsidR="00EE4DE7">
        <w:t>s</w:t>
      </w:r>
      <w:r w:rsidRPr="003B0E27">
        <w:t xml:space="preserve"> cashflow and/or maturity profile and/or covenant)</w:t>
      </w:r>
    </w:p>
    <w:p w14:paraId="0FC000CA" w14:textId="77777777" w:rsidR="00E31F99" w:rsidRPr="003B0E27" w:rsidRDefault="00E31F99" w:rsidP="00A92CDE">
      <w:pPr>
        <w:pStyle w:val="BodyTextGrey"/>
        <w:numPr>
          <w:ilvl w:val="0"/>
          <w:numId w:val="45"/>
        </w:numPr>
      </w:pPr>
      <w:r w:rsidRPr="003B0E27">
        <w:t>if there has been a material change in the affordability of contributions and/or employer(s) financial covenant strength which has an impact on the FSS.</w:t>
      </w:r>
    </w:p>
    <w:p w14:paraId="53EAEE5E" w14:textId="77777777" w:rsidR="00E31F99" w:rsidRPr="003B0E27" w:rsidRDefault="00E31F99" w:rsidP="00E31F99">
      <w:pPr>
        <w:pStyle w:val="BodyTextGrey"/>
        <w:numPr>
          <w:ilvl w:val="0"/>
          <w:numId w:val="45"/>
        </w:numPr>
      </w:pPr>
      <w:r w:rsidRPr="003B0E27">
        <w:t xml:space="preserve">recommendations from MHCLG/GAD. </w:t>
      </w:r>
    </w:p>
    <w:p w14:paraId="57E20A2A" w14:textId="77777777" w:rsidR="009F2422" w:rsidRPr="003B0E27" w:rsidRDefault="009F2422" w:rsidP="002B1B07">
      <w:pPr>
        <w:pStyle w:val="BodyTextGrey"/>
        <w:rPr>
          <w:iCs w:val="0"/>
          <w:color w:val="auto"/>
        </w:rPr>
      </w:pPr>
      <w:r w:rsidRPr="003B0E27">
        <w:t>In undertaking such reviews, the administering authority should consider:</w:t>
      </w:r>
    </w:p>
    <w:p w14:paraId="6DAF8B1F" w14:textId="235D8F50" w:rsidR="00670475" w:rsidRPr="002B1B07" w:rsidRDefault="00670475" w:rsidP="002B1B07">
      <w:pPr>
        <w:pStyle w:val="BodyTextGrey"/>
        <w:numPr>
          <w:ilvl w:val="0"/>
          <w:numId w:val="45"/>
        </w:numPr>
      </w:pPr>
      <w:r w:rsidRPr="003B0E27">
        <w:t xml:space="preserve">looking at experiences in relation to long-term funding assumptions (in terms of </w:t>
      </w:r>
      <w:r w:rsidR="003E1147">
        <w:t>forecasted</w:t>
      </w:r>
      <w:r w:rsidRPr="003B0E27">
        <w:t xml:space="preserve"> investment income and contribution income) and consequences of actions taken by employers (e.g. pay awards and early retirements)</w:t>
      </w:r>
    </w:p>
    <w:p w14:paraId="02791808" w14:textId="77777777" w:rsidR="00670475" w:rsidRPr="003B0E27" w:rsidRDefault="00670475" w:rsidP="002B1B07">
      <w:pPr>
        <w:pStyle w:val="BodyTextGrey"/>
        <w:numPr>
          <w:ilvl w:val="0"/>
          <w:numId w:val="45"/>
        </w:numPr>
      </w:pPr>
      <w:r w:rsidRPr="003B0E27">
        <w:lastRenderedPageBreak/>
        <w:t>the implications for the funding strategy and, if significant, determine what action should be taken to review the FSS</w:t>
      </w:r>
    </w:p>
    <w:p w14:paraId="65E3C063" w14:textId="76B01F3E" w:rsidR="003B0E27" w:rsidRDefault="00670475" w:rsidP="003B0E27">
      <w:pPr>
        <w:pStyle w:val="BodyTextGrey"/>
        <w:numPr>
          <w:ilvl w:val="0"/>
          <w:numId w:val="45"/>
        </w:numPr>
      </w:pPr>
      <w:r w:rsidRPr="003B0E27">
        <w:t>the implications arising from the funding strategy for meeting the liabilities of individual employers and any amendments required to the I</w:t>
      </w:r>
      <w:r w:rsidR="00645287">
        <w:t>nvestment Strategy Statement (I</w:t>
      </w:r>
      <w:r w:rsidRPr="003B0E27">
        <w:t>SS</w:t>
      </w:r>
      <w:r w:rsidR="00645287">
        <w:t>)</w:t>
      </w:r>
    </w:p>
    <w:p w14:paraId="799CF5B8" w14:textId="77777777" w:rsidR="009E788D" w:rsidRDefault="00670475" w:rsidP="002B1B07">
      <w:pPr>
        <w:pStyle w:val="BodyTextGrey"/>
        <w:numPr>
          <w:ilvl w:val="0"/>
          <w:numId w:val="45"/>
        </w:numPr>
      </w:pPr>
      <w:r w:rsidRPr="002B1B07">
        <w:t>consulting with individual employers specifically impacted by any changes as an integral part of the monitoring and review process</w:t>
      </w:r>
      <w:r w:rsidR="00B051E1" w:rsidRPr="003B0E27">
        <w:t xml:space="preserve"> </w:t>
      </w:r>
      <w:r w:rsidR="005B524E" w:rsidRPr="003B0E27">
        <w:t>and ensuring any communication regarding a review won’t necessarily lead</w:t>
      </w:r>
      <w:r w:rsidR="005B524E">
        <w:t xml:space="preserve"> to rates changes for individual employers but could impact </w:t>
      </w:r>
    </w:p>
    <w:p w14:paraId="5669BDC9" w14:textId="52F77053" w:rsidR="005B524E" w:rsidRPr="003B0E27" w:rsidRDefault="005B524E" w:rsidP="002B1B07">
      <w:pPr>
        <w:pStyle w:val="BodyTextGrey"/>
        <w:numPr>
          <w:ilvl w:val="0"/>
          <w:numId w:val="45"/>
        </w:numPr>
      </w:pPr>
      <w:r>
        <w:t>s, terminations, approach to managing risk and employer risk assessment.</w:t>
      </w:r>
    </w:p>
    <w:p w14:paraId="1EA4C453" w14:textId="07F5948A" w:rsidR="0064285B" w:rsidRDefault="0064285B">
      <w:pPr>
        <w:pStyle w:val="BodyTextGrey"/>
      </w:pPr>
      <w:r>
        <w:t>Any amendments will be consulted on, a</w:t>
      </w:r>
      <w:r w:rsidR="00B051E1">
        <w:t>pproved</w:t>
      </w:r>
      <w:r>
        <w:t xml:space="preserve"> by the </w:t>
      </w:r>
      <w:r w:rsidRPr="00575F3B">
        <w:t>Pensions</w:t>
      </w:r>
      <w:r w:rsidR="00970CE0">
        <w:t>, Policy &amp; Investment</w:t>
      </w:r>
      <w:r w:rsidRPr="00575F3B">
        <w:t xml:space="preserve"> Committee</w:t>
      </w:r>
      <w:r w:rsidR="00970CE0">
        <w:t xml:space="preserve"> (the </w:t>
      </w:r>
      <w:proofErr w:type="gramStart"/>
      <w:r w:rsidR="00970CE0">
        <w:t>decision making</w:t>
      </w:r>
      <w:proofErr w:type="gramEnd"/>
      <w:r w:rsidR="00970CE0">
        <w:t xml:space="preserve"> body for the Fund)</w:t>
      </w:r>
      <w:r>
        <w:t xml:space="preserve"> and included in the Committee meeting minutes.</w:t>
      </w:r>
    </w:p>
    <w:p w14:paraId="5FBE56D2" w14:textId="6D4DE7B2" w:rsidR="001B0A69" w:rsidRDefault="001B0A69" w:rsidP="002B1B07">
      <w:pPr>
        <w:pStyle w:val="BodyTextGrey"/>
      </w:pPr>
      <w:r>
        <w:t>This Funding Strategy Statement is effective from 1 April 2026 and is expect</w:t>
      </w:r>
      <w:r w:rsidR="00AF0564">
        <w:t>ed</w:t>
      </w:r>
      <w:r>
        <w:t xml:space="preserve"> to remain in force until 31 March 2029 at the latest, unless an interim review is carried out prior to then.</w:t>
      </w:r>
    </w:p>
    <w:p w14:paraId="3A0D5CDB" w14:textId="7CDBD97D" w:rsidR="00690C62" w:rsidRDefault="00690C62" w:rsidP="00E82873">
      <w:pPr>
        <w:pStyle w:val="Heading2Num"/>
      </w:pPr>
      <w:r>
        <w:t xml:space="preserve">Links to </w:t>
      </w:r>
      <w:r w:rsidR="00413A3D">
        <w:t>Administration Strategy</w:t>
      </w:r>
    </w:p>
    <w:p w14:paraId="1F4E597E" w14:textId="0372CE45" w:rsidR="00A96568" w:rsidRDefault="00F515DB" w:rsidP="00F15E0F">
      <w:pPr>
        <w:pStyle w:val="Heading1Num"/>
        <w:numPr>
          <w:ilvl w:val="0"/>
          <w:numId w:val="0"/>
        </w:numPr>
        <w:spacing w:before="20" w:after="200" w:line="280" w:lineRule="exact"/>
        <w:rPr>
          <w:rFonts w:cs="Arial"/>
          <w:iCs/>
          <w:color w:val="455560" w:themeColor="accent5"/>
          <w:kern w:val="0"/>
          <w:sz w:val="20"/>
        </w:rPr>
      </w:pPr>
      <w:r>
        <w:rPr>
          <w:rFonts w:cs="Arial"/>
          <w:iCs/>
          <w:color w:val="455560" w:themeColor="accent5"/>
          <w:kern w:val="0"/>
          <w:sz w:val="20"/>
        </w:rPr>
        <w:t xml:space="preserve">The </w:t>
      </w:r>
      <w:r w:rsidR="00A00F04">
        <w:rPr>
          <w:rFonts w:cs="Arial"/>
          <w:iCs/>
          <w:color w:val="455560" w:themeColor="accent5"/>
          <w:kern w:val="0"/>
          <w:sz w:val="20"/>
        </w:rPr>
        <w:t>F</w:t>
      </w:r>
      <w:r>
        <w:rPr>
          <w:rFonts w:cs="Arial"/>
          <w:iCs/>
          <w:color w:val="455560" w:themeColor="accent5"/>
          <w:kern w:val="0"/>
          <w:sz w:val="20"/>
        </w:rPr>
        <w:t xml:space="preserve">und </w:t>
      </w:r>
      <w:r w:rsidR="00A96568">
        <w:rPr>
          <w:rFonts w:cs="Arial"/>
          <w:iCs/>
          <w:color w:val="455560" w:themeColor="accent5"/>
          <w:kern w:val="0"/>
          <w:sz w:val="20"/>
        </w:rPr>
        <w:t>maintains</w:t>
      </w:r>
      <w:r>
        <w:rPr>
          <w:rFonts w:cs="Arial"/>
          <w:iCs/>
          <w:color w:val="455560" w:themeColor="accent5"/>
          <w:kern w:val="0"/>
          <w:sz w:val="20"/>
        </w:rPr>
        <w:t xml:space="preserve"> an A</w:t>
      </w:r>
      <w:r w:rsidRPr="00F515DB">
        <w:rPr>
          <w:rFonts w:cs="Arial"/>
          <w:iCs/>
          <w:color w:val="455560" w:themeColor="accent5"/>
          <w:kern w:val="0"/>
          <w:sz w:val="20"/>
        </w:rPr>
        <w:t xml:space="preserve">dministration </w:t>
      </w:r>
      <w:r>
        <w:rPr>
          <w:rFonts w:cs="Arial"/>
          <w:iCs/>
          <w:color w:val="455560" w:themeColor="accent5"/>
          <w:kern w:val="0"/>
          <w:sz w:val="20"/>
        </w:rPr>
        <w:t>S</w:t>
      </w:r>
      <w:r w:rsidRPr="00F515DB">
        <w:rPr>
          <w:rFonts w:cs="Arial"/>
          <w:iCs/>
          <w:color w:val="455560" w:themeColor="accent5"/>
          <w:kern w:val="0"/>
          <w:sz w:val="20"/>
        </w:rPr>
        <w:t xml:space="preserve">trategy </w:t>
      </w:r>
      <w:r>
        <w:rPr>
          <w:rFonts w:cs="Arial"/>
          <w:iCs/>
          <w:color w:val="455560" w:themeColor="accent5"/>
          <w:kern w:val="0"/>
          <w:sz w:val="20"/>
        </w:rPr>
        <w:t xml:space="preserve">Statement which outlines the </w:t>
      </w:r>
      <w:r w:rsidRPr="00F515DB">
        <w:rPr>
          <w:rFonts w:cs="Arial"/>
          <w:iCs/>
          <w:color w:val="455560" w:themeColor="accent5"/>
          <w:kern w:val="0"/>
          <w:sz w:val="20"/>
        </w:rPr>
        <w:t xml:space="preserve">responsibilities, </w:t>
      </w:r>
      <w:r w:rsidR="00AC2FD0">
        <w:rPr>
          <w:rFonts w:cs="Arial"/>
          <w:iCs/>
          <w:color w:val="455560" w:themeColor="accent5"/>
          <w:kern w:val="0"/>
          <w:sz w:val="20"/>
        </w:rPr>
        <w:t xml:space="preserve">standards </w:t>
      </w:r>
      <w:r w:rsidRPr="00F515DB">
        <w:rPr>
          <w:rFonts w:cs="Arial"/>
          <w:iCs/>
          <w:color w:val="455560" w:themeColor="accent5"/>
          <w:kern w:val="0"/>
          <w:sz w:val="20"/>
        </w:rPr>
        <w:t xml:space="preserve">and procedures for employers and the </w:t>
      </w:r>
      <w:r w:rsidR="00A00F04">
        <w:rPr>
          <w:rFonts w:cs="Arial"/>
          <w:iCs/>
          <w:color w:val="455560" w:themeColor="accent5"/>
          <w:kern w:val="0"/>
          <w:sz w:val="20"/>
        </w:rPr>
        <w:t>F</w:t>
      </w:r>
      <w:r w:rsidRPr="00F515DB">
        <w:rPr>
          <w:rFonts w:cs="Arial"/>
          <w:iCs/>
          <w:color w:val="455560" w:themeColor="accent5"/>
          <w:kern w:val="0"/>
          <w:sz w:val="20"/>
        </w:rPr>
        <w:t>und</w:t>
      </w:r>
      <w:r w:rsidR="00A96568">
        <w:rPr>
          <w:rFonts w:cs="Arial"/>
          <w:iCs/>
          <w:color w:val="455560" w:themeColor="accent5"/>
          <w:kern w:val="0"/>
          <w:sz w:val="20"/>
        </w:rPr>
        <w:t xml:space="preserve">. A copy of this can be found </w:t>
      </w:r>
      <w:hyperlink r:id="rId18" w:history="1">
        <w:r w:rsidR="00A96568" w:rsidRPr="004F5C25">
          <w:rPr>
            <w:rStyle w:val="Hyperlink"/>
          </w:rPr>
          <w:t>here</w:t>
        </w:r>
      </w:hyperlink>
      <w:r w:rsidR="00A96568" w:rsidRPr="004F5C25">
        <w:rPr>
          <w:rFonts w:cs="Arial"/>
          <w:iCs/>
          <w:color w:val="455560" w:themeColor="accent5"/>
          <w:kern w:val="0"/>
          <w:sz w:val="20"/>
        </w:rPr>
        <w:t>.</w:t>
      </w:r>
    </w:p>
    <w:p w14:paraId="65DBF660" w14:textId="26EAFC7F" w:rsidR="00413A3D" w:rsidRPr="00AC2FD0" w:rsidRDefault="00A96568" w:rsidP="002B1B07">
      <w:pPr>
        <w:pStyle w:val="BodyTextGrey"/>
      </w:pPr>
      <w:r>
        <w:t xml:space="preserve">Adherence with the requirements of the Administration Strategy Statement is crucial to ensure the well-running of the </w:t>
      </w:r>
      <w:r w:rsidR="007011A5">
        <w:t>F</w:t>
      </w:r>
      <w:r>
        <w:t>und</w:t>
      </w:r>
      <w:r w:rsidR="007011A5">
        <w:t>. A</w:t>
      </w:r>
      <w:r>
        <w:t xml:space="preserve">ny failure to do so may lead to uncertainty </w:t>
      </w:r>
      <w:r w:rsidR="00534F7C">
        <w:t>around the value of an employer’s liabilities and the need for prudent assumptions to fil</w:t>
      </w:r>
      <w:r w:rsidR="00AC2FD0">
        <w:t>l</w:t>
      </w:r>
      <w:r w:rsidR="00534F7C">
        <w:t xml:space="preserve"> any data gaps</w:t>
      </w:r>
      <w:r w:rsidR="00E82873">
        <w:t xml:space="preserve">. </w:t>
      </w:r>
    </w:p>
    <w:p w14:paraId="6745EB20" w14:textId="686E364F" w:rsidR="00413A3D" w:rsidRDefault="00E82873" w:rsidP="00E93E0E">
      <w:pPr>
        <w:pStyle w:val="Heading2Num"/>
        <w:rPr>
          <w:iCs w:val="0"/>
        </w:rPr>
      </w:pPr>
      <w:r w:rsidRPr="00E82873">
        <w:rPr>
          <w:iCs w:val="0"/>
        </w:rPr>
        <w:tab/>
        <w:t>Actuarial valuation report</w:t>
      </w:r>
    </w:p>
    <w:p w14:paraId="045F91AE" w14:textId="0B33CFE1" w:rsidR="00E82873" w:rsidRPr="00E82873" w:rsidRDefault="00D97F7E" w:rsidP="002B1B07">
      <w:pPr>
        <w:pStyle w:val="BodyTextGrey"/>
      </w:pPr>
      <w:hyperlink r:id="rId19" w:anchor="r62" w:history="1">
        <w:r w:rsidRPr="00693805">
          <w:rPr>
            <w:rStyle w:val="Hyperlink"/>
          </w:rPr>
          <w:t>LGPS Regulations</w:t>
        </w:r>
      </w:hyperlink>
      <w:r>
        <w:t xml:space="preserve"> (</w:t>
      </w:r>
      <w:r w:rsidR="0039139D">
        <w:t>s</w:t>
      </w:r>
      <w:r>
        <w:t xml:space="preserve">pecifically Regulation 62) require an actuarial valuation to be carried out every three years, under which </w:t>
      </w:r>
      <w:r w:rsidRPr="00426EF2">
        <w:t xml:space="preserve">contribution rates for all </w:t>
      </w:r>
      <w:r>
        <w:t xml:space="preserve">participating </w:t>
      </w:r>
      <w:r w:rsidRPr="00426EF2">
        <w:t xml:space="preserve">employers </w:t>
      </w:r>
      <w:r>
        <w:t xml:space="preserve">are set for the </w:t>
      </w:r>
      <w:r w:rsidRPr="00426EF2">
        <w:t xml:space="preserve">following three years. </w:t>
      </w:r>
      <w:r w:rsidR="0039139D">
        <w:t>This Funding Strategy Statement sets out the assumptions and methodology underpinning the 2025 actuarial valuation actuarial exercise</w:t>
      </w:r>
      <w:r w:rsidR="00994948">
        <w:t>.</w:t>
      </w:r>
      <w:r w:rsidR="0039139D">
        <w:t xml:space="preserve"> </w:t>
      </w:r>
      <w:r w:rsidR="002F3F87">
        <w:t xml:space="preserve">The actuarial valuation report </w:t>
      </w:r>
      <w:r w:rsidR="00892507">
        <w:t>sets out 1) the actuar</w:t>
      </w:r>
      <w:r w:rsidR="002F3F87">
        <w:t>y’</w:t>
      </w:r>
      <w:r w:rsidR="00892507">
        <w:t xml:space="preserve">s assessment of the past service funding position, and 2) the contributions required to </w:t>
      </w:r>
      <w:r w:rsidR="007F60A8">
        <w:t xml:space="preserve">ensure full funding by the end of the time horizon.  </w:t>
      </w:r>
      <w:r w:rsidR="00994948">
        <w:t>The Rates and Adjustments certificate</w:t>
      </w:r>
      <w:r w:rsidR="00994948" w:rsidRPr="00426EF2">
        <w:t xml:space="preserve"> </w:t>
      </w:r>
      <w:r w:rsidR="00994948">
        <w:t xml:space="preserve">shows the </w:t>
      </w:r>
      <w:r w:rsidR="00994948" w:rsidRPr="00426EF2">
        <w:t xml:space="preserve">contribution rates </w:t>
      </w:r>
      <w:r w:rsidR="00994948">
        <w:t>payable by each employer (which may be expressed as a percentage of payroll and/or monetary amounts).</w:t>
      </w:r>
    </w:p>
    <w:p w14:paraId="2D74314C" w14:textId="2DB01B98" w:rsidR="0064285B" w:rsidRPr="00137BB9" w:rsidRDefault="0064285B" w:rsidP="0064285B">
      <w:pPr>
        <w:pStyle w:val="BodyTextGrey"/>
      </w:pPr>
    </w:p>
    <w:p w14:paraId="07034D7A" w14:textId="77777777" w:rsidR="00137BB9" w:rsidRPr="002B0C53" w:rsidRDefault="00137BB9" w:rsidP="002B0C53">
      <w:pPr>
        <w:pStyle w:val="BodyTextGrey"/>
      </w:pPr>
    </w:p>
    <w:p w14:paraId="2C873D35" w14:textId="1FE56AFB" w:rsidR="006A3BCD" w:rsidRPr="00C43446" w:rsidRDefault="002943D3" w:rsidP="002B0C53">
      <w:pPr>
        <w:pStyle w:val="Heading1Num"/>
        <w:pageBreakBefore/>
      </w:pPr>
      <w:bookmarkStart w:id="28" w:name="_Toc112068176"/>
      <w:bookmarkStart w:id="29" w:name="_Toc86162843"/>
      <w:r>
        <w:lastRenderedPageBreak/>
        <w:t xml:space="preserve">How </w:t>
      </w:r>
      <w:r w:rsidR="00807A5E">
        <w:t xml:space="preserve">does the </w:t>
      </w:r>
      <w:r w:rsidR="00271320">
        <w:t>F</w:t>
      </w:r>
      <w:r w:rsidR="00807A5E">
        <w:t xml:space="preserve">und calculate </w:t>
      </w:r>
      <w:r>
        <w:t>employer contributions</w:t>
      </w:r>
      <w:r w:rsidR="00807A5E">
        <w:t>?</w:t>
      </w:r>
      <w:bookmarkEnd w:id="28"/>
      <w:r w:rsidR="00807A5E">
        <w:t xml:space="preserve"> </w:t>
      </w:r>
      <w:bookmarkEnd w:id="29"/>
    </w:p>
    <w:p w14:paraId="7E7359FA" w14:textId="154D7B91" w:rsidR="00951E8F" w:rsidRDefault="00786AE2" w:rsidP="004A7AFA">
      <w:pPr>
        <w:pStyle w:val="Heading2Num"/>
      </w:pPr>
      <w:bookmarkStart w:id="30" w:name="_Toc86162844"/>
      <w:r>
        <w:t xml:space="preserve">Calculating contribution rates </w:t>
      </w:r>
      <w:bookmarkEnd w:id="30"/>
    </w:p>
    <w:p w14:paraId="753DA4C6" w14:textId="00B95682" w:rsidR="00154536" w:rsidRDefault="00154536" w:rsidP="00DD5E25">
      <w:pPr>
        <w:pStyle w:val="BodyTextGrey"/>
      </w:pPr>
      <w:r>
        <w:t>Employee contribution rates are set by the LGPS regulations.</w:t>
      </w:r>
    </w:p>
    <w:p w14:paraId="2F2087BF" w14:textId="113F53FE" w:rsidR="008B5BB6" w:rsidRDefault="008B5BB6" w:rsidP="008B5BB6">
      <w:pPr>
        <w:pStyle w:val="BodyTextGrey"/>
      </w:pPr>
      <w:r>
        <w:t>Employer contribution</w:t>
      </w:r>
      <w:r w:rsidR="001F6BBD">
        <w:t xml:space="preserve"> rate</w:t>
      </w:r>
      <w:r w:rsidR="00695823">
        <w:t>s</w:t>
      </w:r>
      <w:r w:rsidR="001F6BBD">
        <w:t xml:space="preserve"> are </w:t>
      </w:r>
      <w:r w:rsidR="003E42D3">
        <w:t>determined by a mandatory</w:t>
      </w:r>
      <w:r w:rsidR="00026942">
        <w:t xml:space="preserve"> </w:t>
      </w:r>
      <w:r w:rsidR="003E42D3">
        <w:t>actuarial valuation exercise</w:t>
      </w:r>
      <w:r w:rsidR="00695823">
        <w:rPr>
          <w:rStyle w:val="CommentReference"/>
          <w:color w:val="auto"/>
          <w:lang w:eastAsia="en-GB"/>
        </w:rPr>
        <w:t xml:space="preserve">, </w:t>
      </w:r>
      <w:r w:rsidR="00695823">
        <w:t xml:space="preserve">and </w:t>
      </w:r>
      <w:r>
        <w:t xml:space="preserve">are made up of </w:t>
      </w:r>
      <w:r w:rsidR="00695823">
        <w:t xml:space="preserve">the following </w:t>
      </w:r>
      <w:r>
        <w:t>elements:</w:t>
      </w:r>
    </w:p>
    <w:p w14:paraId="0E0486DA" w14:textId="40D0D72A" w:rsidR="008B5BB6" w:rsidRDefault="008B5BB6" w:rsidP="008B5BB6">
      <w:pPr>
        <w:pStyle w:val="BodyTextGrey"/>
        <w:numPr>
          <w:ilvl w:val="0"/>
          <w:numId w:val="13"/>
        </w:numPr>
        <w:ind w:left="567" w:hanging="567"/>
      </w:pPr>
      <w:r w:rsidRPr="00A63492">
        <w:rPr>
          <w:b/>
          <w:bCs/>
        </w:rPr>
        <w:t>the primary contribution rate</w:t>
      </w:r>
      <w:r>
        <w:t xml:space="preserve"> – contributions payable towards future benefits </w:t>
      </w:r>
    </w:p>
    <w:p w14:paraId="5EB61237" w14:textId="77777777" w:rsidR="008B5BB6" w:rsidRDefault="008B5BB6" w:rsidP="008B5BB6">
      <w:pPr>
        <w:pStyle w:val="BodyTextGrey"/>
        <w:numPr>
          <w:ilvl w:val="0"/>
          <w:numId w:val="13"/>
        </w:numPr>
        <w:ind w:left="567" w:hanging="567"/>
      </w:pPr>
      <w:r>
        <w:rPr>
          <w:b/>
          <w:bCs/>
        </w:rPr>
        <w:t>the secondary contribution rate</w:t>
      </w:r>
      <w:r>
        <w:t xml:space="preserve"> – the difference between the primary rate and the total employer contribution </w:t>
      </w:r>
    </w:p>
    <w:p w14:paraId="62A39DD9" w14:textId="4585F6BD" w:rsidR="0066574D" w:rsidRDefault="0066574D" w:rsidP="008B5BB6">
      <w:pPr>
        <w:pStyle w:val="BodyTextGrey"/>
      </w:pPr>
      <w:r>
        <w:t xml:space="preserve">The primary rate also includes an allowance for the </w:t>
      </w:r>
      <w:r w:rsidR="00254E13">
        <w:t>F</w:t>
      </w:r>
      <w:r>
        <w:t xml:space="preserve">und’s expenses. </w:t>
      </w:r>
    </w:p>
    <w:p w14:paraId="119D3F39" w14:textId="1B8BCC22" w:rsidR="00D55242" w:rsidRDefault="00761AEC" w:rsidP="008B5BB6">
      <w:pPr>
        <w:pStyle w:val="BodyTextGrey"/>
      </w:pPr>
      <w:r>
        <w:t xml:space="preserve">The </w:t>
      </w:r>
      <w:r w:rsidR="00254E13">
        <w:t>F</w:t>
      </w:r>
      <w:r>
        <w:t xml:space="preserve">und actuary uses a methodology known as Asset Liability Modelling to </w:t>
      </w:r>
      <w:r w:rsidR="00D83D42">
        <w:t xml:space="preserve">set employer contribution rates. Under this methodology, for a given proposed </w:t>
      </w:r>
      <w:r w:rsidR="00E42EDB">
        <w:t xml:space="preserve">employer </w:t>
      </w:r>
      <w:r w:rsidR="00D83D42">
        <w:t>contribution rate, the model projects</w:t>
      </w:r>
      <w:r w:rsidR="00D63B88">
        <w:t xml:space="preserve"> </w:t>
      </w:r>
      <w:r w:rsidR="00AA0275">
        <w:t xml:space="preserve">future asset and liability values </w:t>
      </w:r>
      <w:r w:rsidR="00073AE5">
        <w:t xml:space="preserve">for the employer </w:t>
      </w:r>
      <w:r w:rsidR="00AA0275">
        <w:t xml:space="preserve">under </w:t>
      </w:r>
      <w:r w:rsidR="00073AE5">
        <w:t>5,000</w:t>
      </w:r>
      <w:r w:rsidR="00AA0275">
        <w:t xml:space="preserve"> different simulations of the future economic environment. Each simulation </w:t>
      </w:r>
      <w:r w:rsidR="002F58DA">
        <w:t xml:space="preserve">– generated by Hymans Robertson’s Economic Scenario </w:t>
      </w:r>
      <w:r w:rsidR="007F0904">
        <w:t xml:space="preserve">Service (ESS) model - </w:t>
      </w:r>
      <w:r w:rsidR="00EA34BC">
        <w:t xml:space="preserve">has a different path for </w:t>
      </w:r>
      <w:r w:rsidR="00112602">
        <w:t>future interest rates, inflation rates and the investment return on different asset classes</w:t>
      </w:r>
      <w:r w:rsidR="003A5F22">
        <w:t xml:space="preserve">. </w:t>
      </w:r>
      <w:r w:rsidR="001C5C8C">
        <w:t xml:space="preserve">This approach allows the </w:t>
      </w:r>
      <w:r w:rsidR="009C2E09">
        <w:t>F</w:t>
      </w:r>
      <w:r w:rsidR="001C5C8C">
        <w:t xml:space="preserve">und actuary to understand </w:t>
      </w:r>
      <w:r w:rsidR="00FC0B3A">
        <w:t>the potential range of future funding outcomes</w:t>
      </w:r>
      <w:r w:rsidR="00CE610F">
        <w:t xml:space="preserve"> that could be achieved via payment of that contribution rate. </w:t>
      </w:r>
    </w:p>
    <w:p w14:paraId="51BDE9A3" w14:textId="20A2D07D" w:rsidR="00CE610F" w:rsidRDefault="000C1163" w:rsidP="008B5BB6">
      <w:pPr>
        <w:pStyle w:val="BodyTextGrey"/>
      </w:pPr>
      <w:r>
        <w:t xml:space="preserve">The </w:t>
      </w:r>
      <w:r w:rsidR="009C2E09">
        <w:t>F</w:t>
      </w:r>
      <w:r>
        <w:t>und has set</w:t>
      </w:r>
      <w:r w:rsidR="00A6189F">
        <w:t xml:space="preserve"> </w:t>
      </w:r>
      <w:r w:rsidRPr="0009754E">
        <w:rPr>
          <w:i/>
          <w:iCs w:val="0"/>
        </w:rPr>
        <w:t>funding strategy criteria</w:t>
      </w:r>
      <w:r>
        <w:t xml:space="preserve"> for each </w:t>
      </w:r>
      <w:r w:rsidR="009C2E09">
        <w:t xml:space="preserve">participating </w:t>
      </w:r>
      <w:r>
        <w:t xml:space="preserve">employer </w:t>
      </w:r>
      <w:r w:rsidR="00A22335">
        <w:t xml:space="preserve">which must be </w:t>
      </w:r>
      <w:r w:rsidR="00A6189F">
        <w:t>satisfied</w:t>
      </w:r>
      <w:r w:rsidR="0009754E">
        <w:t xml:space="preserve"> </w:t>
      </w:r>
      <w:proofErr w:type="gramStart"/>
      <w:r w:rsidR="007072DF">
        <w:t>in order for</w:t>
      </w:r>
      <w:proofErr w:type="gramEnd"/>
      <w:r w:rsidR="007072DF">
        <w:t xml:space="preserve"> a given employer contribution to be deemed acceptable. The funding strategy criteria are </w:t>
      </w:r>
      <w:r w:rsidR="00EF2639">
        <w:t>specified</w:t>
      </w:r>
      <w:r w:rsidR="007072DF">
        <w:t xml:space="preserve"> in terms of the following four parameters:</w:t>
      </w:r>
    </w:p>
    <w:p w14:paraId="47FD1D50" w14:textId="77777777" w:rsidR="00711FB9" w:rsidRDefault="00711FB9" w:rsidP="00711FB9">
      <w:pPr>
        <w:pStyle w:val="BodyTextGrey"/>
        <w:numPr>
          <w:ilvl w:val="0"/>
          <w:numId w:val="13"/>
        </w:numPr>
        <w:rPr>
          <w:b/>
          <w:bCs/>
        </w:rPr>
      </w:pPr>
      <w:r w:rsidRPr="00711FB9">
        <w:rPr>
          <w:b/>
          <w:bCs/>
        </w:rPr>
        <w:t xml:space="preserve">the target funding level </w:t>
      </w:r>
      <w:r w:rsidRPr="00711FB9">
        <w:t>– how much money the Fund aims to hold for each employer</w:t>
      </w:r>
    </w:p>
    <w:p w14:paraId="7E28CA21" w14:textId="77777777" w:rsidR="00711FB9" w:rsidRDefault="00711FB9" w:rsidP="00711FB9">
      <w:pPr>
        <w:pStyle w:val="BodyTextGrey"/>
        <w:numPr>
          <w:ilvl w:val="0"/>
          <w:numId w:val="13"/>
        </w:numPr>
        <w:rPr>
          <w:b/>
          <w:bCs/>
        </w:rPr>
      </w:pPr>
      <w:r w:rsidRPr="00711FB9">
        <w:rPr>
          <w:b/>
          <w:bCs/>
        </w:rPr>
        <w:t xml:space="preserve">the time horizon </w:t>
      </w:r>
      <w:r w:rsidRPr="00711FB9">
        <w:t>– the time over which the employer aims to achieve the Funding target</w:t>
      </w:r>
      <w:r w:rsidRPr="00711FB9">
        <w:rPr>
          <w:b/>
          <w:bCs/>
        </w:rPr>
        <w:t xml:space="preserve"> </w:t>
      </w:r>
    </w:p>
    <w:p w14:paraId="4614DACA" w14:textId="77777777" w:rsidR="00711FB9" w:rsidRDefault="00711FB9" w:rsidP="00711FB9">
      <w:pPr>
        <w:pStyle w:val="BodyTextGrey"/>
        <w:numPr>
          <w:ilvl w:val="0"/>
          <w:numId w:val="13"/>
        </w:numPr>
        <w:rPr>
          <w:b/>
          <w:bCs/>
        </w:rPr>
      </w:pPr>
      <w:r w:rsidRPr="00711FB9">
        <w:rPr>
          <w:b/>
          <w:bCs/>
        </w:rPr>
        <w:t xml:space="preserve">the funding basis </w:t>
      </w:r>
      <w:r w:rsidRPr="00711FB9">
        <w:t>– the set of actuarial assumptions used to value the employer’s (past and future service) liabilities</w:t>
      </w:r>
    </w:p>
    <w:p w14:paraId="18F44973" w14:textId="546B9C03" w:rsidR="00711FB9" w:rsidRPr="00711FB9" w:rsidRDefault="00711FB9" w:rsidP="00711FB9">
      <w:pPr>
        <w:pStyle w:val="BodyTextGrey"/>
        <w:numPr>
          <w:ilvl w:val="0"/>
          <w:numId w:val="13"/>
        </w:numPr>
        <w:rPr>
          <w:b/>
          <w:bCs/>
        </w:rPr>
      </w:pPr>
      <w:r w:rsidRPr="00711FB9">
        <w:rPr>
          <w:b/>
          <w:bCs/>
        </w:rPr>
        <w:t>the likelihood of success</w:t>
      </w:r>
      <w:r w:rsidRPr="00711FB9">
        <w:t xml:space="preserve"> – the proportion of modelled scenarios where the Funding target is met.</w:t>
      </w:r>
    </w:p>
    <w:p w14:paraId="75CC3A07" w14:textId="536D08B7" w:rsidR="00A774A0" w:rsidRDefault="00711FB9" w:rsidP="00711FB9">
      <w:pPr>
        <w:pStyle w:val="BodyTextGrey"/>
      </w:pPr>
      <w:r w:rsidRPr="00711FB9">
        <w:rPr>
          <w:b/>
          <w:bCs/>
        </w:rPr>
        <w:t xml:space="preserve"> </w:t>
      </w:r>
      <w:r w:rsidR="00A774A0">
        <w:t>For example, an employer’s funding strategy criteria may be</w:t>
      </w:r>
      <w:r w:rsidR="004D1BE9">
        <w:t xml:space="preserve"> set as follows:</w:t>
      </w:r>
    </w:p>
    <w:p w14:paraId="3DA945E4" w14:textId="591F9076" w:rsidR="000864BA" w:rsidRPr="00161B19" w:rsidRDefault="008C196E" w:rsidP="008C196E">
      <w:pPr>
        <w:rPr>
          <w:i/>
          <w:iCs w:val="0"/>
          <w:color w:val="44546A" w:themeColor="background1"/>
        </w:rPr>
      </w:pPr>
      <w:r w:rsidRPr="00161B19">
        <w:rPr>
          <w:i/>
          <w:color w:val="44546A" w:themeColor="background1"/>
        </w:rPr>
        <w:t xml:space="preserve">The employer must have at least </w:t>
      </w:r>
      <w:proofErr w:type="gramStart"/>
      <w:r w:rsidRPr="00161B19">
        <w:rPr>
          <w:i/>
          <w:color w:val="44546A" w:themeColor="background1"/>
        </w:rPr>
        <w:t>a</w:t>
      </w:r>
      <w:proofErr w:type="gramEnd"/>
      <w:r w:rsidRPr="00161B19">
        <w:rPr>
          <w:i/>
          <w:color w:val="44546A" w:themeColor="background1"/>
        </w:rPr>
        <w:t xml:space="preserve"> </w:t>
      </w:r>
      <w:r w:rsidR="00AD0212">
        <w:rPr>
          <w:b/>
          <w:bCs/>
          <w:i/>
          <w:color w:val="44546A" w:themeColor="background1"/>
        </w:rPr>
        <w:t>80</w:t>
      </w:r>
      <w:r w:rsidRPr="00161B19">
        <w:rPr>
          <w:b/>
          <w:bCs/>
          <w:i/>
          <w:color w:val="44546A" w:themeColor="background1"/>
        </w:rPr>
        <w:t>% likelihood</w:t>
      </w:r>
      <w:r w:rsidRPr="00161B19">
        <w:rPr>
          <w:i/>
          <w:color w:val="44546A" w:themeColor="background1"/>
        </w:rPr>
        <w:t xml:space="preserve"> of being </w:t>
      </w:r>
      <w:r w:rsidRPr="00161B19">
        <w:rPr>
          <w:b/>
          <w:bCs/>
          <w:i/>
          <w:color w:val="44546A" w:themeColor="background1"/>
        </w:rPr>
        <w:t>100% funded</w:t>
      </w:r>
      <w:r w:rsidRPr="00161B19">
        <w:rPr>
          <w:i/>
          <w:color w:val="44546A" w:themeColor="background1"/>
        </w:rPr>
        <w:t xml:space="preserve"> on the </w:t>
      </w:r>
      <w:r w:rsidRPr="00161B19">
        <w:rPr>
          <w:b/>
          <w:bCs/>
          <w:i/>
          <w:color w:val="44546A" w:themeColor="background1"/>
        </w:rPr>
        <w:t>ongoing participation basis</w:t>
      </w:r>
      <w:r w:rsidRPr="00161B19">
        <w:rPr>
          <w:i/>
          <w:color w:val="44546A" w:themeColor="background1"/>
        </w:rPr>
        <w:t xml:space="preserve"> at the end of a </w:t>
      </w:r>
      <w:proofErr w:type="gramStart"/>
      <w:r w:rsidRPr="00161B19">
        <w:rPr>
          <w:b/>
          <w:bCs/>
          <w:i/>
          <w:color w:val="44546A" w:themeColor="background1"/>
        </w:rPr>
        <w:t>20 year</w:t>
      </w:r>
      <w:proofErr w:type="gramEnd"/>
      <w:r w:rsidRPr="00161B19">
        <w:rPr>
          <w:i/>
          <w:color w:val="44546A" w:themeColor="background1"/>
        </w:rPr>
        <w:t xml:space="preserve"> funding time horizon</w:t>
      </w:r>
    </w:p>
    <w:p w14:paraId="231A8BD5" w14:textId="275B0DB6" w:rsidR="00154536" w:rsidRPr="00723BEA" w:rsidRDefault="00E75B7A" w:rsidP="00154536">
      <w:pPr>
        <w:pStyle w:val="BodyTextGrey"/>
        <w:rPr>
          <w:rStyle w:val="Hyperlink"/>
          <w:color w:val="455560" w:themeColor="accent5"/>
          <w:u w:val="none"/>
        </w:rPr>
      </w:pPr>
      <w:r>
        <w:br/>
        <w:t>Th</w:t>
      </w:r>
      <w:r w:rsidR="00B653A7">
        <w:t>e</w:t>
      </w:r>
      <w:r>
        <w:t xml:space="preserve"> funding strategy criteria used by the </w:t>
      </w:r>
      <w:r w:rsidR="003A3D11">
        <w:t>F</w:t>
      </w:r>
      <w:r>
        <w:t xml:space="preserve">und are set out </w:t>
      </w:r>
      <w:r w:rsidR="0088436E">
        <w:t xml:space="preserve">in Table 2. Further detail on the </w:t>
      </w:r>
      <w:r w:rsidR="0036092E">
        <w:t>ESS</w:t>
      </w:r>
      <w:r w:rsidR="00723BEA">
        <w:t xml:space="preserve"> and on the </w:t>
      </w:r>
      <w:proofErr w:type="gramStart"/>
      <w:r w:rsidR="00723BEA">
        <w:t>funding</w:t>
      </w:r>
      <w:proofErr w:type="gramEnd"/>
      <w:r w:rsidR="00723BEA">
        <w:t xml:space="preserve"> bases used by the </w:t>
      </w:r>
      <w:r w:rsidR="00D44479">
        <w:t>F</w:t>
      </w:r>
      <w:r w:rsidR="00723BEA">
        <w:t xml:space="preserve">und are set out in </w:t>
      </w:r>
      <w:hyperlink w:anchor="AppendixD" w:history="1">
        <w:r w:rsidR="00154536">
          <w:rPr>
            <w:rStyle w:val="Hyperlink"/>
          </w:rPr>
          <w:t>Appendix</w:t>
        </w:r>
      </w:hyperlink>
      <w:r w:rsidR="00154536">
        <w:rPr>
          <w:rStyle w:val="Hyperlink"/>
        </w:rPr>
        <w:t xml:space="preserve"> </w:t>
      </w:r>
      <w:r w:rsidR="00386F03">
        <w:rPr>
          <w:rStyle w:val="Hyperlink"/>
        </w:rPr>
        <w:t>E</w:t>
      </w:r>
      <w:r w:rsidR="00154536">
        <w:rPr>
          <w:rStyle w:val="Hyperlink"/>
        </w:rPr>
        <w:t>.</w:t>
      </w:r>
    </w:p>
    <w:p w14:paraId="3A6E0F24" w14:textId="646B2F10" w:rsidR="00C37268" w:rsidRDefault="00137BB9" w:rsidP="00E8009E">
      <w:pPr>
        <w:pStyle w:val="BodyTextGrey"/>
      </w:pPr>
      <w:r w:rsidRPr="00137BB9">
        <w:t>Th</w:t>
      </w:r>
      <w:r w:rsidR="000971F0">
        <w:t xml:space="preserve">e contribution rate setting </w:t>
      </w:r>
      <w:r w:rsidR="00154536">
        <w:t xml:space="preserve">approach </w:t>
      </w:r>
      <w:proofErr w:type="gramStart"/>
      <w:r w:rsidRPr="00137BB9">
        <w:t>takes into account</w:t>
      </w:r>
      <w:proofErr w:type="gramEnd"/>
      <w:r w:rsidRPr="00137BB9">
        <w:t xml:space="preserve"> the maturing profile of the membership when setting employer contribution rates</w:t>
      </w:r>
      <w:r w:rsidR="00C37268">
        <w:t>.</w:t>
      </w:r>
    </w:p>
    <w:p w14:paraId="16AE824C" w14:textId="7383C090" w:rsidR="00E8009E" w:rsidRDefault="00C37268" w:rsidP="00E8009E">
      <w:pPr>
        <w:pStyle w:val="BodyTextGrey"/>
      </w:pPr>
      <w:r>
        <w:t>The approach taken by the</w:t>
      </w:r>
      <w:r w:rsidR="00D44479">
        <w:t xml:space="preserve"> F</w:t>
      </w:r>
      <w:r>
        <w:t xml:space="preserve">und actuary </w:t>
      </w:r>
      <w:r w:rsidR="000D5373">
        <w:t xml:space="preserve">helps the </w:t>
      </w:r>
      <w:r w:rsidR="00D44479">
        <w:t>F</w:t>
      </w:r>
      <w:r w:rsidR="000D5373">
        <w:t xml:space="preserve">und meet the aim of maintaining as stable a primary </w:t>
      </w:r>
      <w:r w:rsidR="00544912">
        <w:t>employer cont</w:t>
      </w:r>
      <w:r>
        <w:t xml:space="preserve">ribution </w:t>
      </w:r>
      <w:r w:rsidR="00544912">
        <w:t>rate as possible</w:t>
      </w:r>
      <w:r>
        <w:t>.</w:t>
      </w:r>
    </w:p>
    <w:p w14:paraId="48CFD876" w14:textId="6728FF93" w:rsidR="00B3784F" w:rsidRDefault="00B3784F" w:rsidP="00951E8F">
      <w:pPr>
        <w:pStyle w:val="BodyTextGrey"/>
      </w:pPr>
      <w:r w:rsidRPr="00D32DB7">
        <w:t xml:space="preserve">The </w:t>
      </w:r>
      <w:r w:rsidR="00D44479" w:rsidRPr="00D32DB7">
        <w:t>F</w:t>
      </w:r>
      <w:r w:rsidRPr="00D32DB7">
        <w:t>und permits the prepayment of employer contributions in specific circumstances.  Th</w:t>
      </w:r>
      <w:r w:rsidR="00006818" w:rsidRPr="00D32DB7">
        <w:t xml:space="preserve">is would need to be requested </w:t>
      </w:r>
      <w:r w:rsidR="00A1656C" w:rsidRPr="00D32DB7">
        <w:t xml:space="preserve">by employers </w:t>
      </w:r>
      <w:proofErr w:type="spellStart"/>
      <w:proofErr w:type="gramStart"/>
      <w:r w:rsidR="00A1656C" w:rsidRPr="00D32DB7">
        <w:t>an</w:t>
      </w:r>
      <w:proofErr w:type="spellEnd"/>
      <w:proofErr w:type="gramEnd"/>
      <w:r w:rsidR="00A1656C" w:rsidRPr="00D32DB7">
        <w:t xml:space="preserve"> is subject to approval by the Pension, Policy &amp; Investment committee.</w:t>
      </w:r>
    </w:p>
    <w:p w14:paraId="1A3173CD" w14:textId="6B3AC13F" w:rsidR="00951E8F" w:rsidRPr="00DD6396" w:rsidRDefault="00F15978" w:rsidP="00424C77">
      <w:pPr>
        <w:pStyle w:val="Heading2Num"/>
      </w:pPr>
      <w:bookmarkStart w:id="31" w:name="contributioncalc"/>
      <w:bookmarkStart w:id="32" w:name="_Toc86162846"/>
      <w:bookmarkEnd w:id="31"/>
      <w:r w:rsidRPr="009508FE">
        <w:lastRenderedPageBreak/>
        <w:t>The</w:t>
      </w:r>
      <w:r>
        <w:t xml:space="preserve"> </w:t>
      </w:r>
      <w:r w:rsidR="00564BCF">
        <w:t>contribution rate calculation</w:t>
      </w:r>
      <w:bookmarkEnd w:id="32"/>
    </w:p>
    <w:p w14:paraId="71371C14" w14:textId="77777777" w:rsidR="00773FF9" w:rsidRDefault="00773FF9" w:rsidP="00773FF9">
      <w:pPr>
        <w:pStyle w:val="Heading2"/>
      </w:pPr>
      <w:bookmarkStart w:id="33" w:name="_Toc86162847"/>
    </w:p>
    <w:p w14:paraId="76344F15" w14:textId="260FA153" w:rsidR="00951E8F" w:rsidRDefault="009508FE" w:rsidP="00773FF9">
      <w:pPr>
        <w:pStyle w:val="Heading2"/>
      </w:pPr>
      <w:r>
        <w:t>Table 2: contribution rate calculation for</w:t>
      </w:r>
      <w:r w:rsidR="00CB4010">
        <w:t xml:space="preserve"> individual or pooled </w:t>
      </w:r>
      <w:r>
        <w:t>employer</w:t>
      </w:r>
      <w:r w:rsidR="00BC2D44">
        <w:t>s</w:t>
      </w:r>
      <w:bookmarkEnd w:id="33"/>
    </w:p>
    <w:tbl>
      <w:tblPr>
        <w:tblStyle w:val="TableGrid"/>
        <w:tblW w:w="0" w:type="auto"/>
        <w:tblBorders>
          <w:top w:val="none" w:sz="0" w:space="0" w:color="auto"/>
          <w:left w:val="none" w:sz="0" w:space="0" w:color="auto"/>
          <w:bottom w:val="none" w:sz="0" w:space="0" w:color="auto"/>
          <w:right w:val="none" w:sz="0" w:space="0" w:color="auto"/>
          <w:insideH w:val="single" w:sz="8" w:space="0" w:color="455560" w:themeColor="accent5"/>
          <w:insideV w:val="none" w:sz="0" w:space="0" w:color="auto"/>
        </w:tblBorders>
        <w:tblLook w:val="04A0" w:firstRow="1" w:lastRow="0" w:firstColumn="1" w:lastColumn="0" w:noHBand="0" w:noVBand="1"/>
      </w:tblPr>
      <w:tblGrid>
        <w:gridCol w:w="1443"/>
        <w:gridCol w:w="1420"/>
        <w:gridCol w:w="1428"/>
        <w:gridCol w:w="1420"/>
        <w:gridCol w:w="1109"/>
        <w:gridCol w:w="1378"/>
        <w:gridCol w:w="1723"/>
      </w:tblGrid>
      <w:tr w:rsidR="00885F9D" w:rsidRPr="003B4D32" w14:paraId="2754177C" w14:textId="77777777" w:rsidTr="008E6618">
        <w:trPr>
          <w:tblHeader/>
        </w:trPr>
        <w:tc>
          <w:tcPr>
            <w:tcW w:w="0" w:type="auto"/>
            <w:tcBorders>
              <w:top w:val="nil"/>
              <w:bottom w:val="nil"/>
            </w:tcBorders>
            <w:shd w:val="clear" w:color="auto" w:fill="455560" w:themeFill="accent5"/>
          </w:tcPr>
          <w:p w14:paraId="1ADA0E1C" w14:textId="77777777" w:rsidR="003B4D32" w:rsidRPr="00D076C1" w:rsidRDefault="003B4D32" w:rsidP="003B4D32">
            <w:pPr>
              <w:spacing w:after="20" w:line="240" w:lineRule="auto"/>
              <w:jc w:val="left"/>
              <w:rPr>
                <w:b/>
                <w:color w:val="FFFFFF" w:themeColor="text2"/>
                <w:sz w:val="18"/>
                <w:szCs w:val="18"/>
                <w:lang w:eastAsia="en-US"/>
              </w:rPr>
            </w:pPr>
            <w:r w:rsidRPr="00D076C1">
              <w:rPr>
                <w:b/>
                <w:color w:val="FFFFFF" w:themeColor="text2"/>
                <w:sz w:val="18"/>
                <w:szCs w:val="18"/>
                <w:lang w:eastAsia="en-US"/>
              </w:rPr>
              <w:t>Type of employer</w:t>
            </w:r>
          </w:p>
        </w:tc>
        <w:tc>
          <w:tcPr>
            <w:tcW w:w="0" w:type="auto"/>
            <w:gridSpan w:val="3"/>
            <w:tcBorders>
              <w:top w:val="nil"/>
              <w:bottom w:val="nil"/>
            </w:tcBorders>
            <w:shd w:val="clear" w:color="auto" w:fill="455560" w:themeFill="accent5"/>
          </w:tcPr>
          <w:p w14:paraId="3A5C022B" w14:textId="77777777" w:rsidR="003B4D32" w:rsidRPr="00D076C1" w:rsidRDefault="003B4D32" w:rsidP="003B4D32">
            <w:pPr>
              <w:spacing w:after="20" w:line="240" w:lineRule="auto"/>
              <w:jc w:val="center"/>
              <w:rPr>
                <w:b/>
                <w:color w:val="FFFFFF" w:themeColor="text2"/>
                <w:sz w:val="18"/>
                <w:szCs w:val="18"/>
                <w:lang w:eastAsia="en-US"/>
              </w:rPr>
            </w:pPr>
            <w:r w:rsidRPr="00D076C1">
              <w:rPr>
                <w:b/>
                <w:color w:val="FFFFFF" w:themeColor="text2"/>
                <w:sz w:val="18"/>
                <w:szCs w:val="18"/>
                <w:lang w:eastAsia="en-US"/>
              </w:rPr>
              <w:t>Scheduled bodies</w:t>
            </w:r>
          </w:p>
        </w:tc>
        <w:tc>
          <w:tcPr>
            <w:tcW w:w="0" w:type="auto"/>
            <w:gridSpan w:val="2"/>
            <w:tcBorders>
              <w:top w:val="nil"/>
              <w:bottom w:val="nil"/>
            </w:tcBorders>
            <w:shd w:val="clear" w:color="auto" w:fill="455560" w:themeFill="accent5"/>
          </w:tcPr>
          <w:p w14:paraId="76CBF5B9" w14:textId="61D1DCD1" w:rsidR="003B4D32" w:rsidRPr="00D076C1" w:rsidRDefault="00A003D4" w:rsidP="003B4D32">
            <w:pPr>
              <w:spacing w:after="20" w:line="240" w:lineRule="auto"/>
              <w:jc w:val="center"/>
              <w:rPr>
                <w:b/>
                <w:color w:val="FFFFFF" w:themeColor="text2"/>
                <w:sz w:val="18"/>
                <w:szCs w:val="18"/>
                <w:lang w:eastAsia="en-US"/>
              </w:rPr>
            </w:pPr>
            <w:r>
              <w:rPr>
                <w:b/>
                <w:color w:val="FFFFFF" w:themeColor="text2"/>
                <w:sz w:val="18"/>
                <w:szCs w:val="18"/>
                <w:lang w:eastAsia="en-US"/>
              </w:rPr>
              <w:t>CABs and</w:t>
            </w:r>
            <w:r w:rsidR="003B4D32" w:rsidRPr="00D076C1">
              <w:rPr>
                <w:b/>
                <w:color w:val="FFFFFF" w:themeColor="text2"/>
                <w:sz w:val="18"/>
                <w:szCs w:val="18"/>
                <w:lang w:eastAsia="en-US"/>
              </w:rPr>
              <w:t xml:space="preserve"> designating employers</w:t>
            </w:r>
          </w:p>
        </w:tc>
        <w:tc>
          <w:tcPr>
            <w:tcW w:w="0" w:type="auto"/>
            <w:tcBorders>
              <w:top w:val="nil"/>
              <w:bottom w:val="nil"/>
            </w:tcBorders>
            <w:shd w:val="clear" w:color="auto" w:fill="455560" w:themeFill="accent5"/>
          </w:tcPr>
          <w:p w14:paraId="099EACB3" w14:textId="6A566589" w:rsidR="003B4D32" w:rsidRPr="00D076C1" w:rsidRDefault="00A003D4" w:rsidP="003B4D32">
            <w:pPr>
              <w:spacing w:after="20" w:line="240" w:lineRule="auto"/>
              <w:jc w:val="center"/>
              <w:rPr>
                <w:b/>
                <w:color w:val="FFFFFF" w:themeColor="text2"/>
                <w:sz w:val="18"/>
                <w:szCs w:val="18"/>
                <w:lang w:eastAsia="en-US"/>
              </w:rPr>
            </w:pPr>
            <w:r>
              <w:rPr>
                <w:b/>
                <w:color w:val="FFFFFF" w:themeColor="text2"/>
                <w:sz w:val="18"/>
                <w:szCs w:val="18"/>
                <w:lang w:eastAsia="en-US"/>
              </w:rPr>
              <w:t>TABs</w:t>
            </w:r>
          </w:p>
        </w:tc>
      </w:tr>
      <w:tr w:rsidR="00885F9D" w:rsidRPr="003B4D32" w14:paraId="21044131" w14:textId="77777777" w:rsidTr="00CB4010">
        <w:trPr>
          <w:trHeight w:val="895"/>
          <w:tblHeader/>
        </w:trPr>
        <w:tc>
          <w:tcPr>
            <w:tcW w:w="0" w:type="auto"/>
            <w:tcBorders>
              <w:top w:val="nil"/>
              <w:bottom w:val="nil"/>
            </w:tcBorders>
            <w:shd w:val="clear" w:color="auto" w:fill="AEBCC5" w:themeFill="accent5" w:themeFillTint="66"/>
          </w:tcPr>
          <w:p w14:paraId="6015BC52" w14:textId="77777777" w:rsidR="003B4D32" w:rsidRPr="00D076C1" w:rsidRDefault="003B4D32" w:rsidP="003B4D32">
            <w:pPr>
              <w:spacing w:after="20" w:line="240" w:lineRule="auto"/>
              <w:jc w:val="left"/>
              <w:rPr>
                <w:b/>
                <w:color w:val="455560"/>
                <w:sz w:val="18"/>
                <w:szCs w:val="18"/>
                <w:lang w:eastAsia="en-US"/>
              </w:rPr>
            </w:pPr>
            <w:r w:rsidRPr="00D076C1">
              <w:rPr>
                <w:b/>
                <w:color w:val="455560"/>
                <w:sz w:val="18"/>
                <w:szCs w:val="18"/>
                <w:lang w:eastAsia="en-US"/>
              </w:rPr>
              <w:t>Sub-type</w:t>
            </w:r>
          </w:p>
        </w:tc>
        <w:tc>
          <w:tcPr>
            <w:tcW w:w="0" w:type="auto"/>
            <w:tcBorders>
              <w:top w:val="nil"/>
              <w:bottom w:val="nil"/>
            </w:tcBorders>
            <w:shd w:val="clear" w:color="auto" w:fill="AEBCC5" w:themeFill="accent5" w:themeFillTint="66"/>
          </w:tcPr>
          <w:p w14:paraId="3CE6928C" w14:textId="70B62326" w:rsidR="003B4D32" w:rsidRPr="00D076C1" w:rsidRDefault="003B4D32" w:rsidP="003B4D32">
            <w:pPr>
              <w:spacing w:after="20" w:line="240" w:lineRule="auto"/>
              <w:jc w:val="center"/>
              <w:rPr>
                <w:b/>
                <w:color w:val="455560"/>
                <w:sz w:val="18"/>
                <w:szCs w:val="18"/>
                <w:lang w:eastAsia="en-US"/>
              </w:rPr>
            </w:pPr>
            <w:r w:rsidRPr="00D076C1">
              <w:rPr>
                <w:b/>
                <w:color w:val="455560"/>
                <w:sz w:val="18"/>
                <w:szCs w:val="18"/>
                <w:lang w:eastAsia="en-US"/>
              </w:rPr>
              <w:t xml:space="preserve">Local </w:t>
            </w:r>
            <w:r w:rsidR="00BC2D44">
              <w:rPr>
                <w:b/>
                <w:color w:val="455560"/>
                <w:sz w:val="18"/>
                <w:szCs w:val="18"/>
                <w:lang w:eastAsia="en-US"/>
              </w:rPr>
              <w:t>a</w:t>
            </w:r>
            <w:r w:rsidRPr="00D076C1">
              <w:rPr>
                <w:b/>
                <w:color w:val="455560"/>
                <w:sz w:val="18"/>
                <w:szCs w:val="18"/>
                <w:lang w:eastAsia="en-US"/>
              </w:rPr>
              <w:t xml:space="preserve">uthorities, </w:t>
            </w:r>
          </w:p>
        </w:tc>
        <w:tc>
          <w:tcPr>
            <w:tcW w:w="0" w:type="auto"/>
            <w:tcBorders>
              <w:top w:val="nil"/>
              <w:bottom w:val="nil"/>
            </w:tcBorders>
            <w:shd w:val="clear" w:color="auto" w:fill="AEBCC5" w:themeFill="accent5" w:themeFillTint="66"/>
          </w:tcPr>
          <w:p w14:paraId="7490C8E4" w14:textId="24BD85C2" w:rsidR="003B4D32" w:rsidRPr="00D076C1" w:rsidRDefault="00F6248C" w:rsidP="003B4D32">
            <w:pPr>
              <w:spacing w:after="20" w:line="240" w:lineRule="auto"/>
              <w:jc w:val="center"/>
              <w:rPr>
                <w:b/>
                <w:color w:val="455560"/>
                <w:sz w:val="18"/>
                <w:szCs w:val="18"/>
                <w:lang w:eastAsia="en-US"/>
              </w:rPr>
            </w:pPr>
            <w:r>
              <w:rPr>
                <w:b/>
                <w:color w:val="455560"/>
                <w:sz w:val="18"/>
                <w:szCs w:val="18"/>
                <w:lang w:eastAsia="en-US"/>
              </w:rPr>
              <w:t>U</w:t>
            </w:r>
            <w:r w:rsidR="003B4D32" w:rsidRPr="00D076C1">
              <w:rPr>
                <w:b/>
                <w:color w:val="455560"/>
                <w:sz w:val="18"/>
                <w:szCs w:val="18"/>
                <w:lang w:eastAsia="en-US"/>
              </w:rPr>
              <w:t>niversities</w:t>
            </w:r>
          </w:p>
        </w:tc>
        <w:tc>
          <w:tcPr>
            <w:tcW w:w="0" w:type="auto"/>
            <w:tcBorders>
              <w:top w:val="nil"/>
              <w:bottom w:val="nil"/>
            </w:tcBorders>
            <w:shd w:val="clear" w:color="auto" w:fill="AEBCC5" w:themeFill="accent5" w:themeFillTint="66"/>
          </w:tcPr>
          <w:p w14:paraId="7177D055" w14:textId="04086D33" w:rsidR="003B4D32" w:rsidRPr="00D076C1" w:rsidRDefault="003B4D32" w:rsidP="003B4D32">
            <w:pPr>
              <w:spacing w:after="20" w:line="240" w:lineRule="auto"/>
              <w:jc w:val="center"/>
              <w:rPr>
                <w:b/>
                <w:color w:val="455560"/>
                <w:sz w:val="18"/>
                <w:szCs w:val="18"/>
                <w:lang w:eastAsia="en-US"/>
              </w:rPr>
            </w:pPr>
            <w:r w:rsidRPr="00D076C1">
              <w:rPr>
                <w:b/>
                <w:color w:val="455560"/>
                <w:sz w:val="18"/>
                <w:szCs w:val="18"/>
                <w:lang w:eastAsia="en-US"/>
              </w:rPr>
              <w:t>Academies</w:t>
            </w:r>
            <w:r w:rsidR="00F6248C">
              <w:rPr>
                <w:b/>
                <w:color w:val="455560"/>
                <w:sz w:val="18"/>
                <w:szCs w:val="18"/>
                <w:lang w:eastAsia="en-US"/>
              </w:rPr>
              <w:t xml:space="preserve"> and Colleges</w:t>
            </w:r>
          </w:p>
        </w:tc>
        <w:tc>
          <w:tcPr>
            <w:tcW w:w="0" w:type="auto"/>
            <w:tcBorders>
              <w:top w:val="nil"/>
              <w:bottom w:val="nil"/>
            </w:tcBorders>
            <w:shd w:val="clear" w:color="auto" w:fill="AEBCC5" w:themeFill="accent5" w:themeFillTint="66"/>
          </w:tcPr>
          <w:p w14:paraId="1C803050" w14:textId="77777777" w:rsidR="003B4D32" w:rsidRPr="00D076C1" w:rsidRDefault="003B4D32" w:rsidP="003B4D32">
            <w:pPr>
              <w:spacing w:after="20" w:line="240" w:lineRule="auto"/>
              <w:jc w:val="center"/>
              <w:rPr>
                <w:b/>
                <w:color w:val="455560"/>
                <w:sz w:val="18"/>
                <w:szCs w:val="18"/>
                <w:lang w:eastAsia="en-US"/>
              </w:rPr>
            </w:pPr>
            <w:r w:rsidRPr="00D076C1">
              <w:rPr>
                <w:b/>
                <w:color w:val="455560"/>
                <w:sz w:val="18"/>
                <w:szCs w:val="18"/>
                <w:lang w:eastAsia="en-US"/>
              </w:rPr>
              <w:t>Open to new entrants</w:t>
            </w:r>
          </w:p>
        </w:tc>
        <w:tc>
          <w:tcPr>
            <w:tcW w:w="0" w:type="auto"/>
            <w:tcBorders>
              <w:top w:val="nil"/>
              <w:bottom w:val="nil"/>
            </w:tcBorders>
            <w:shd w:val="clear" w:color="auto" w:fill="AEBCC5" w:themeFill="accent5" w:themeFillTint="66"/>
          </w:tcPr>
          <w:p w14:paraId="7CCA2209" w14:textId="77777777" w:rsidR="003B4D32" w:rsidRPr="00D076C1" w:rsidRDefault="003B4D32" w:rsidP="003B4D32">
            <w:pPr>
              <w:spacing w:after="20" w:line="240" w:lineRule="auto"/>
              <w:jc w:val="center"/>
              <w:rPr>
                <w:b/>
                <w:color w:val="455560"/>
                <w:sz w:val="18"/>
                <w:szCs w:val="18"/>
                <w:lang w:eastAsia="en-US"/>
              </w:rPr>
            </w:pPr>
            <w:r w:rsidRPr="00D076C1">
              <w:rPr>
                <w:b/>
                <w:color w:val="455560"/>
                <w:sz w:val="18"/>
                <w:szCs w:val="18"/>
                <w:lang w:eastAsia="en-US"/>
              </w:rPr>
              <w:t>Closed to new entrants</w:t>
            </w:r>
          </w:p>
        </w:tc>
        <w:tc>
          <w:tcPr>
            <w:tcW w:w="0" w:type="auto"/>
            <w:tcBorders>
              <w:top w:val="nil"/>
              <w:bottom w:val="nil"/>
            </w:tcBorders>
            <w:shd w:val="clear" w:color="auto" w:fill="AEBCC5" w:themeFill="accent5" w:themeFillTint="66"/>
          </w:tcPr>
          <w:p w14:paraId="71889D37" w14:textId="77777777" w:rsidR="003B4D32" w:rsidRPr="00D076C1" w:rsidRDefault="003B4D32" w:rsidP="003B4D32">
            <w:pPr>
              <w:spacing w:after="20" w:line="240" w:lineRule="auto"/>
              <w:jc w:val="center"/>
              <w:rPr>
                <w:b/>
                <w:color w:val="455560"/>
                <w:sz w:val="18"/>
                <w:szCs w:val="18"/>
                <w:lang w:eastAsia="en-US"/>
              </w:rPr>
            </w:pPr>
            <w:r w:rsidRPr="00D076C1">
              <w:rPr>
                <w:b/>
                <w:color w:val="455560"/>
                <w:sz w:val="18"/>
                <w:szCs w:val="18"/>
                <w:lang w:eastAsia="en-US"/>
              </w:rPr>
              <w:t>(all)</w:t>
            </w:r>
          </w:p>
        </w:tc>
      </w:tr>
      <w:tr w:rsidR="00885F9D" w:rsidRPr="003B4D32" w14:paraId="07C5A944" w14:textId="77777777" w:rsidTr="008B7396">
        <w:trPr>
          <w:trHeight w:val="218"/>
          <w:tblHeader/>
        </w:trPr>
        <w:tc>
          <w:tcPr>
            <w:tcW w:w="0" w:type="auto"/>
            <w:tcBorders>
              <w:top w:val="nil"/>
              <w:bottom w:val="nil"/>
            </w:tcBorders>
            <w:shd w:val="clear" w:color="auto" w:fill="AEBCC5" w:themeFill="accent5" w:themeFillTint="66"/>
          </w:tcPr>
          <w:p w14:paraId="2F1BE655" w14:textId="79025442" w:rsidR="008B7396" w:rsidRPr="00D076C1" w:rsidRDefault="008B7396" w:rsidP="003B4D32">
            <w:pPr>
              <w:spacing w:after="20" w:line="240" w:lineRule="auto"/>
              <w:jc w:val="left"/>
              <w:rPr>
                <w:b/>
                <w:color w:val="455560"/>
                <w:sz w:val="18"/>
                <w:szCs w:val="18"/>
                <w:lang w:eastAsia="en-US"/>
              </w:rPr>
            </w:pPr>
            <w:r>
              <w:rPr>
                <w:b/>
                <w:color w:val="455560"/>
                <w:sz w:val="18"/>
                <w:szCs w:val="18"/>
                <w:lang w:eastAsia="en-US"/>
              </w:rPr>
              <w:t>SAB Tier</w:t>
            </w:r>
          </w:p>
        </w:tc>
        <w:tc>
          <w:tcPr>
            <w:tcW w:w="0" w:type="auto"/>
            <w:tcBorders>
              <w:top w:val="nil"/>
              <w:bottom w:val="nil"/>
            </w:tcBorders>
            <w:shd w:val="clear" w:color="auto" w:fill="AEBCC5" w:themeFill="accent5" w:themeFillTint="66"/>
          </w:tcPr>
          <w:p w14:paraId="5C600D1D" w14:textId="1D27E852"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1</w:t>
            </w:r>
          </w:p>
        </w:tc>
        <w:tc>
          <w:tcPr>
            <w:tcW w:w="0" w:type="auto"/>
            <w:tcBorders>
              <w:top w:val="nil"/>
              <w:bottom w:val="nil"/>
            </w:tcBorders>
            <w:shd w:val="clear" w:color="auto" w:fill="AEBCC5" w:themeFill="accent5" w:themeFillTint="66"/>
          </w:tcPr>
          <w:p w14:paraId="6BE40140" w14:textId="533D2D1B"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3</w:t>
            </w:r>
          </w:p>
        </w:tc>
        <w:tc>
          <w:tcPr>
            <w:tcW w:w="0" w:type="auto"/>
            <w:tcBorders>
              <w:top w:val="nil"/>
              <w:bottom w:val="nil"/>
            </w:tcBorders>
            <w:shd w:val="clear" w:color="auto" w:fill="AEBCC5" w:themeFill="accent5" w:themeFillTint="66"/>
          </w:tcPr>
          <w:p w14:paraId="2510EDC9" w14:textId="339A9D07"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2</w:t>
            </w:r>
          </w:p>
        </w:tc>
        <w:tc>
          <w:tcPr>
            <w:tcW w:w="0" w:type="auto"/>
            <w:tcBorders>
              <w:top w:val="nil"/>
              <w:bottom w:val="nil"/>
            </w:tcBorders>
            <w:shd w:val="clear" w:color="auto" w:fill="AEBCC5" w:themeFill="accent5" w:themeFillTint="66"/>
          </w:tcPr>
          <w:p w14:paraId="157F037A" w14:textId="3A6FC2E7"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3</w:t>
            </w:r>
          </w:p>
        </w:tc>
        <w:tc>
          <w:tcPr>
            <w:tcW w:w="0" w:type="auto"/>
            <w:tcBorders>
              <w:top w:val="nil"/>
              <w:bottom w:val="nil"/>
            </w:tcBorders>
            <w:shd w:val="clear" w:color="auto" w:fill="AEBCC5" w:themeFill="accent5" w:themeFillTint="66"/>
          </w:tcPr>
          <w:p w14:paraId="44B50F6D" w14:textId="068DCB88"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3</w:t>
            </w:r>
          </w:p>
        </w:tc>
        <w:tc>
          <w:tcPr>
            <w:tcW w:w="0" w:type="auto"/>
            <w:tcBorders>
              <w:top w:val="nil"/>
              <w:bottom w:val="nil"/>
            </w:tcBorders>
            <w:shd w:val="clear" w:color="auto" w:fill="AEBCC5" w:themeFill="accent5" w:themeFillTint="66"/>
          </w:tcPr>
          <w:p w14:paraId="711D9399" w14:textId="7BF9F3C9" w:rsidR="008B7396" w:rsidRPr="00D076C1" w:rsidRDefault="008B7396" w:rsidP="003B4D32">
            <w:pPr>
              <w:spacing w:after="20" w:line="240" w:lineRule="auto"/>
              <w:jc w:val="center"/>
              <w:rPr>
                <w:b/>
                <w:color w:val="455560"/>
                <w:sz w:val="18"/>
                <w:szCs w:val="18"/>
                <w:lang w:eastAsia="en-US"/>
              </w:rPr>
            </w:pPr>
            <w:r>
              <w:rPr>
                <w:b/>
                <w:color w:val="455560"/>
                <w:sz w:val="18"/>
                <w:szCs w:val="18"/>
                <w:lang w:eastAsia="en-US"/>
              </w:rPr>
              <w:t>Tier 1</w:t>
            </w:r>
          </w:p>
        </w:tc>
      </w:tr>
      <w:tr w:rsidR="008B3DA3" w:rsidRPr="003B4D32" w14:paraId="087D463E" w14:textId="77777777" w:rsidTr="00751E37">
        <w:tc>
          <w:tcPr>
            <w:tcW w:w="0" w:type="auto"/>
          </w:tcPr>
          <w:p w14:paraId="6234D1CE" w14:textId="45D6E307" w:rsidR="000C2DFA" w:rsidRPr="00D076C1" w:rsidRDefault="000C2DFA" w:rsidP="00751E37">
            <w:pPr>
              <w:spacing w:beforeLines="40" w:before="96" w:afterLines="80" w:after="192" w:line="220" w:lineRule="atLeast"/>
              <w:jc w:val="left"/>
              <w:rPr>
                <w:b/>
                <w:color w:val="455560"/>
                <w:sz w:val="18"/>
                <w:szCs w:val="18"/>
                <w:lang w:eastAsia="en-US"/>
              </w:rPr>
            </w:pPr>
            <w:r w:rsidRPr="00D076C1">
              <w:rPr>
                <w:b/>
                <w:color w:val="455560"/>
                <w:sz w:val="18"/>
                <w:szCs w:val="18"/>
                <w:lang w:eastAsia="en-US"/>
              </w:rPr>
              <w:t xml:space="preserve">Funding </w:t>
            </w:r>
            <w:r w:rsidR="00E345EA">
              <w:rPr>
                <w:b/>
                <w:color w:val="455560"/>
                <w:sz w:val="18"/>
                <w:szCs w:val="18"/>
                <w:lang w:eastAsia="en-US"/>
              </w:rPr>
              <w:t>basis</w:t>
            </w:r>
            <w:r>
              <w:rPr>
                <w:b/>
                <w:color w:val="455560"/>
                <w:sz w:val="18"/>
                <w:szCs w:val="18"/>
                <w:lang w:eastAsia="en-US"/>
              </w:rPr>
              <w:t>*</w:t>
            </w:r>
          </w:p>
        </w:tc>
        <w:tc>
          <w:tcPr>
            <w:tcW w:w="0" w:type="auto"/>
          </w:tcPr>
          <w:p w14:paraId="1F61C4C6" w14:textId="7629E9F6" w:rsidR="000C2DFA" w:rsidRPr="00D076C1" w:rsidRDefault="000C2DFA" w:rsidP="00751E37">
            <w:pPr>
              <w:spacing w:beforeLines="40" w:before="96" w:afterLines="80" w:after="192" w:line="220" w:lineRule="atLeast"/>
              <w:jc w:val="center"/>
              <w:rPr>
                <w:color w:val="455560"/>
                <w:sz w:val="18"/>
                <w:szCs w:val="18"/>
                <w:lang w:eastAsia="en-US"/>
              </w:rPr>
            </w:pPr>
            <w:r>
              <w:rPr>
                <w:color w:val="455560"/>
                <w:sz w:val="18"/>
                <w:szCs w:val="18"/>
                <w:lang w:eastAsia="en-US"/>
              </w:rPr>
              <w:t>Ongoing</w:t>
            </w:r>
          </w:p>
        </w:tc>
        <w:tc>
          <w:tcPr>
            <w:tcW w:w="0" w:type="auto"/>
          </w:tcPr>
          <w:p w14:paraId="04C699DA" w14:textId="72A4853A" w:rsidR="000C2DFA" w:rsidRPr="00D076C1" w:rsidRDefault="000C2DFA" w:rsidP="00751E37">
            <w:pPr>
              <w:spacing w:beforeLines="40" w:before="96" w:afterLines="80" w:after="192" w:line="220" w:lineRule="atLeast"/>
              <w:jc w:val="center"/>
              <w:rPr>
                <w:color w:val="455560"/>
                <w:sz w:val="18"/>
                <w:szCs w:val="18"/>
                <w:lang w:eastAsia="en-US"/>
              </w:rPr>
            </w:pPr>
            <w:r>
              <w:rPr>
                <w:color w:val="455560"/>
                <w:sz w:val="18"/>
                <w:szCs w:val="18"/>
                <w:lang w:eastAsia="en-US"/>
              </w:rPr>
              <w:t>Ongoing</w:t>
            </w:r>
          </w:p>
        </w:tc>
        <w:tc>
          <w:tcPr>
            <w:tcW w:w="0" w:type="auto"/>
          </w:tcPr>
          <w:p w14:paraId="52090355" w14:textId="2C9802CC" w:rsidR="000C2DFA" w:rsidRPr="00D076C1" w:rsidRDefault="000C2DFA" w:rsidP="00751E37">
            <w:pPr>
              <w:spacing w:beforeLines="40" w:before="96" w:afterLines="80" w:after="192" w:line="220" w:lineRule="atLeast"/>
              <w:jc w:val="center"/>
              <w:rPr>
                <w:color w:val="455560"/>
                <w:sz w:val="18"/>
                <w:szCs w:val="18"/>
                <w:lang w:eastAsia="en-US"/>
              </w:rPr>
            </w:pPr>
            <w:r>
              <w:rPr>
                <w:color w:val="455560"/>
                <w:sz w:val="18"/>
                <w:szCs w:val="18"/>
                <w:lang w:eastAsia="en-US"/>
              </w:rPr>
              <w:t>Ongoing</w:t>
            </w:r>
          </w:p>
        </w:tc>
        <w:tc>
          <w:tcPr>
            <w:tcW w:w="0" w:type="auto"/>
            <w:gridSpan w:val="2"/>
          </w:tcPr>
          <w:p w14:paraId="497B33BB" w14:textId="5EB02858" w:rsidR="000C2DFA" w:rsidRPr="00D076C1" w:rsidRDefault="000C2DFA" w:rsidP="00751E37">
            <w:pPr>
              <w:spacing w:beforeLines="40" w:before="96" w:afterLines="80" w:after="192" w:line="220" w:lineRule="atLeast"/>
              <w:jc w:val="center"/>
              <w:rPr>
                <w:color w:val="455560"/>
                <w:sz w:val="18"/>
                <w:szCs w:val="18"/>
                <w:lang w:eastAsia="en-US"/>
              </w:rPr>
            </w:pPr>
            <w:r w:rsidRPr="00D076C1">
              <w:rPr>
                <w:color w:val="455560"/>
                <w:sz w:val="18"/>
                <w:szCs w:val="18"/>
                <w:lang w:eastAsia="en-US"/>
              </w:rPr>
              <w:t xml:space="preserve">Ongoing, but may move to </w:t>
            </w:r>
            <w:proofErr w:type="gramStart"/>
            <w:r w:rsidRPr="00D076C1">
              <w:rPr>
                <w:color w:val="455560"/>
                <w:sz w:val="18"/>
                <w:szCs w:val="18"/>
                <w:lang w:eastAsia="en-US"/>
              </w:rPr>
              <w:t>low-risk</w:t>
            </w:r>
            <w:proofErr w:type="gramEnd"/>
            <w:r w:rsidRPr="00D076C1">
              <w:rPr>
                <w:color w:val="455560"/>
                <w:sz w:val="18"/>
                <w:szCs w:val="18"/>
                <w:lang w:eastAsia="en-US"/>
              </w:rPr>
              <w:t xml:space="preserve"> exit basis</w:t>
            </w:r>
          </w:p>
          <w:p w14:paraId="0B924E13" w14:textId="2708A8D0" w:rsidR="000C2DFA" w:rsidRPr="005A0DF7" w:rsidRDefault="000C2DFA" w:rsidP="00751E37">
            <w:pPr>
              <w:spacing w:beforeLines="40" w:before="96" w:afterLines="80" w:after="192" w:line="220" w:lineRule="atLeast"/>
              <w:jc w:val="center"/>
              <w:rPr>
                <w:color w:val="455560"/>
                <w:sz w:val="18"/>
                <w:szCs w:val="18"/>
                <w:lang w:eastAsia="en-US"/>
              </w:rPr>
            </w:pPr>
          </w:p>
        </w:tc>
        <w:tc>
          <w:tcPr>
            <w:tcW w:w="0" w:type="auto"/>
          </w:tcPr>
          <w:p w14:paraId="06C9D857" w14:textId="29C44F86" w:rsidR="000C2DFA" w:rsidRPr="005A0DF7" w:rsidRDefault="00E345EA" w:rsidP="00751E37">
            <w:pPr>
              <w:spacing w:beforeLines="40" w:before="96" w:afterLines="80" w:after="192" w:line="220" w:lineRule="atLeast"/>
              <w:jc w:val="center"/>
              <w:rPr>
                <w:color w:val="455560"/>
                <w:sz w:val="18"/>
                <w:szCs w:val="18"/>
                <w:lang w:eastAsia="en-US"/>
              </w:rPr>
            </w:pPr>
            <w:r>
              <w:rPr>
                <w:color w:val="455560"/>
                <w:sz w:val="18"/>
                <w:szCs w:val="18"/>
                <w:lang w:eastAsia="en-US"/>
              </w:rPr>
              <w:t>Ongoing</w:t>
            </w:r>
          </w:p>
        </w:tc>
      </w:tr>
      <w:tr w:rsidR="00E345EA" w:rsidRPr="00A36E18" w14:paraId="206A5978" w14:textId="77777777" w:rsidTr="00A003D4">
        <w:tc>
          <w:tcPr>
            <w:tcW w:w="0" w:type="auto"/>
          </w:tcPr>
          <w:p w14:paraId="026CCF69" w14:textId="73FA5592" w:rsidR="00E345EA" w:rsidRPr="00A36E18" w:rsidRDefault="00E345E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Target funding level</w:t>
            </w:r>
          </w:p>
        </w:tc>
        <w:tc>
          <w:tcPr>
            <w:tcW w:w="0" w:type="auto"/>
          </w:tcPr>
          <w:p w14:paraId="235D8FF7" w14:textId="383CDA5D"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c>
          <w:tcPr>
            <w:tcW w:w="0" w:type="auto"/>
          </w:tcPr>
          <w:p w14:paraId="5768BFA3" w14:textId="3FD70FD8"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c>
          <w:tcPr>
            <w:tcW w:w="0" w:type="auto"/>
          </w:tcPr>
          <w:p w14:paraId="688CB6F0" w14:textId="46C99AC3"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c>
          <w:tcPr>
            <w:tcW w:w="0" w:type="auto"/>
          </w:tcPr>
          <w:p w14:paraId="79531683" w14:textId="6FAD9B46"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c>
          <w:tcPr>
            <w:tcW w:w="0" w:type="auto"/>
          </w:tcPr>
          <w:p w14:paraId="03938D10" w14:textId="114CD3B8"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c>
          <w:tcPr>
            <w:tcW w:w="0" w:type="auto"/>
          </w:tcPr>
          <w:p w14:paraId="4E9760D3" w14:textId="261CA7BC" w:rsidR="00E345EA" w:rsidRPr="00D32DB7" w:rsidRDefault="00E345E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100%</w:t>
            </w:r>
          </w:p>
        </w:tc>
      </w:tr>
      <w:tr w:rsidR="00885F9D" w:rsidRPr="00A36E18" w14:paraId="459B2F11" w14:textId="77777777" w:rsidTr="00A003D4">
        <w:tc>
          <w:tcPr>
            <w:tcW w:w="0" w:type="auto"/>
          </w:tcPr>
          <w:p w14:paraId="2497CC3D" w14:textId="771312E9" w:rsidR="000C2DFA" w:rsidRPr="00A36E18" w:rsidDel="00601845"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 xml:space="preserve">Minimum likelihood of success </w:t>
            </w:r>
          </w:p>
        </w:tc>
        <w:tc>
          <w:tcPr>
            <w:tcW w:w="0" w:type="auto"/>
          </w:tcPr>
          <w:p w14:paraId="6E83114E" w14:textId="24B91F28"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c>
          <w:tcPr>
            <w:tcW w:w="0" w:type="auto"/>
          </w:tcPr>
          <w:p w14:paraId="353BD2AD" w14:textId="0C71DD63"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c>
          <w:tcPr>
            <w:tcW w:w="0" w:type="auto"/>
          </w:tcPr>
          <w:p w14:paraId="530DFBB5" w14:textId="6405FDBE"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c>
          <w:tcPr>
            <w:tcW w:w="0" w:type="auto"/>
          </w:tcPr>
          <w:p w14:paraId="5A7E25D2" w14:textId="5CE6D498"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c>
          <w:tcPr>
            <w:tcW w:w="0" w:type="auto"/>
          </w:tcPr>
          <w:p w14:paraId="347DC5AD" w14:textId="48593362"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c>
          <w:tcPr>
            <w:tcW w:w="0" w:type="auto"/>
          </w:tcPr>
          <w:p w14:paraId="58155643" w14:textId="4710F62D"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80</w:t>
            </w:r>
            <w:r w:rsidR="000C2DFA" w:rsidRPr="00D32DB7">
              <w:rPr>
                <w:color w:val="455560"/>
                <w:sz w:val="18"/>
                <w:szCs w:val="18"/>
                <w:lang w:eastAsia="en-US"/>
              </w:rPr>
              <w:t>%</w:t>
            </w:r>
          </w:p>
        </w:tc>
      </w:tr>
      <w:tr w:rsidR="00885F9D" w:rsidRPr="00A36E18" w14:paraId="29628835" w14:textId="77777777" w:rsidTr="00A003D4">
        <w:tc>
          <w:tcPr>
            <w:tcW w:w="0" w:type="auto"/>
          </w:tcPr>
          <w:p w14:paraId="7980A4A1" w14:textId="77777777" w:rsidR="000C2DFA" w:rsidRPr="00A36E18"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 xml:space="preserve">Maximum time horizon </w:t>
            </w:r>
          </w:p>
        </w:tc>
        <w:tc>
          <w:tcPr>
            <w:tcW w:w="0" w:type="auto"/>
          </w:tcPr>
          <w:p w14:paraId="57389BBD"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20 years</w:t>
            </w:r>
          </w:p>
        </w:tc>
        <w:tc>
          <w:tcPr>
            <w:tcW w:w="0" w:type="auto"/>
          </w:tcPr>
          <w:p w14:paraId="31BB8730" w14:textId="6F458952"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20</w:t>
            </w:r>
            <w:r w:rsidR="000C2DFA" w:rsidRPr="00D32DB7">
              <w:rPr>
                <w:color w:val="455560"/>
                <w:sz w:val="18"/>
                <w:szCs w:val="18"/>
                <w:lang w:eastAsia="en-US"/>
              </w:rPr>
              <w:t xml:space="preserve"> years</w:t>
            </w:r>
          </w:p>
        </w:tc>
        <w:tc>
          <w:tcPr>
            <w:tcW w:w="0" w:type="auto"/>
          </w:tcPr>
          <w:p w14:paraId="023E1B00" w14:textId="1281349F"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20</w:t>
            </w:r>
            <w:r w:rsidR="000C2DFA" w:rsidRPr="00D32DB7">
              <w:rPr>
                <w:color w:val="455560"/>
                <w:sz w:val="18"/>
                <w:szCs w:val="18"/>
                <w:lang w:eastAsia="en-US"/>
              </w:rPr>
              <w:t xml:space="preserve"> years</w:t>
            </w:r>
          </w:p>
        </w:tc>
        <w:tc>
          <w:tcPr>
            <w:tcW w:w="0" w:type="auto"/>
          </w:tcPr>
          <w:p w14:paraId="239E8B52" w14:textId="275A0029"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20</w:t>
            </w:r>
            <w:r w:rsidR="000C2DFA" w:rsidRPr="00D32DB7">
              <w:rPr>
                <w:color w:val="455560"/>
                <w:sz w:val="18"/>
                <w:szCs w:val="18"/>
                <w:lang w:eastAsia="en-US"/>
              </w:rPr>
              <w:t xml:space="preserve"> years</w:t>
            </w:r>
          </w:p>
        </w:tc>
        <w:tc>
          <w:tcPr>
            <w:tcW w:w="0" w:type="auto"/>
          </w:tcPr>
          <w:p w14:paraId="145384BD" w14:textId="1B634AB2" w:rsidR="000C2DFA" w:rsidRPr="00D32DB7" w:rsidRDefault="0080000E"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20</w:t>
            </w:r>
            <w:r w:rsidR="000C2DFA" w:rsidRPr="00D32DB7">
              <w:rPr>
                <w:color w:val="455560"/>
                <w:sz w:val="18"/>
                <w:szCs w:val="18"/>
                <w:lang w:eastAsia="en-US"/>
              </w:rPr>
              <w:t xml:space="preserve"> years or average future working lifetime, if less</w:t>
            </w:r>
          </w:p>
        </w:tc>
        <w:tc>
          <w:tcPr>
            <w:tcW w:w="0" w:type="auto"/>
          </w:tcPr>
          <w:p w14:paraId="6317F6C3" w14:textId="0F822E69"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Same as the letting employer</w:t>
            </w:r>
          </w:p>
        </w:tc>
      </w:tr>
      <w:tr w:rsidR="00751E34" w:rsidRPr="00A36E18" w14:paraId="6CD1414B" w14:textId="77777777" w:rsidTr="005A0DF7">
        <w:tc>
          <w:tcPr>
            <w:tcW w:w="0" w:type="auto"/>
          </w:tcPr>
          <w:p w14:paraId="0EAFCC47" w14:textId="013AC419" w:rsidR="000C2DFA" w:rsidRPr="00A36E18"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Primary rate approach</w:t>
            </w:r>
            <w:r w:rsidR="00504365" w:rsidRPr="00A36E18">
              <w:rPr>
                <w:b/>
                <w:color w:val="455560"/>
                <w:sz w:val="18"/>
                <w:szCs w:val="18"/>
                <w:lang w:eastAsia="en-US"/>
              </w:rPr>
              <w:t>*</w:t>
            </w:r>
            <w:r w:rsidR="00343EB3" w:rsidRPr="00A36E18">
              <w:rPr>
                <w:b/>
                <w:color w:val="455560"/>
                <w:sz w:val="18"/>
                <w:szCs w:val="18"/>
                <w:lang w:eastAsia="en-US"/>
              </w:rPr>
              <w:t>*</w:t>
            </w:r>
          </w:p>
        </w:tc>
        <w:tc>
          <w:tcPr>
            <w:tcW w:w="0" w:type="auto"/>
            <w:gridSpan w:val="6"/>
          </w:tcPr>
          <w:p w14:paraId="72CAE572" w14:textId="7E05C1C5"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The contributions must be sufficient to meet the cost of benefits earned in the future with the required likelihood of success at the end of the time horizon</w:t>
            </w:r>
            <w:r w:rsidR="00787002" w:rsidRPr="00D32DB7">
              <w:rPr>
                <w:color w:val="455560"/>
                <w:sz w:val="18"/>
                <w:szCs w:val="18"/>
                <w:lang w:eastAsia="en-US"/>
              </w:rPr>
              <w:t>, expressed as a percentage of pensionable pay</w:t>
            </w:r>
          </w:p>
        </w:tc>
      </w:tr>
      <w:tr w:rsidR="00E16E77" w:rsidRPr="00A36E18" w14:paraId="104E9DDF" w14:textId="77777777" w:rsidTr="00E93E0E">
        <w:tc>
          <w:tcPr>
            <w:tcW w:w="0" w:type="auto"/>
          </w:tcPr>
          <w:p w14:paraId="71D32DCF" w14:textId="54962112" w:rsidR="00E16E77" w:rsidRPr="00A36E18" w:rsidRDefault="00E16E77"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 xml:space="preserve">Secondary rate </w:t>
            </w:r>
          </w:p>
        </w:tc>
        <w:tc>
          <w:tcPr>
            <w:tcW w:w="0" w:type="auto"/>
            <w:gridSpan w:val="6"/>
          </w:tcPr>
          <w:p w14:paraId="65D0A4C9" w14:textId="7B394ECB" w:rsidR="00E16E77" w:rsidRPr="00D32DB7" w:rsidRDefault="00E16E77" w:rsidP="007634C7">
            <w:pPr>
              <w:spacing w:beforeLines="40" w:before="96" w:afterLines="80" w:after="192" w:line="220" w:lineRule="atLeast"/>
              <w:jc w:val="center"/>
              <w:rPr>
                <w:color w:val="455560"/>
                <w:sz w:val="18"/>
                <w:szCs w:val="18"/>
                <w:lang w:eastAsia="en-US"/>
              </w:rPr>
            </w:pPr>
            <w:r w:rsidRPr="00D32DB7">
              <w:rPr>
                <w:color w:val="455560"/>
                <w:sz w:val="18"/>
                <w:szCs w:val="18"/>
                <w:lang w:eastAsia="en-US"/>
              </w:rPr>
              <w:t xml:space="preserve">The </w:t>
            </w:r>
            <w:r w:rsidR="007634C7" w:rsidRPr="00D32DB7">
              <w:rPr>
                <w:color w:val="455560"/>
                <w:sz w:val="18"/>
                <w:szCs w:val="18"/>
                <w:lang w:eastAsia="en-US"/>
              </w:rPr>
              <w:t xml:space="preserve">difference between the total contribution rate payable (determined </w:t>
            </w:r>
            <w:r w:rsidRPr="00D32DB7">
              <w:rPr>
                <w:color w:val="455560"/>
                <w:sz w:val="18"/>
                <w:szCs w:val="18"/>
                <w:lang w:eastAsia="en-US"/>
              </w:rPr>
              <w:t>a</w:t>
            </w:r>
            <w:r w:rsidR="007634C7" w:rsidRPr="00D32DB7">
              <w:rPr>
                <w:color w:val="455560"/>
                <w:sz w:val="18"/>
                <w:szCs w:val="18"/>
                <w:lang w:eastAsia="en-US"/>
              </w:rPr>
              <w:t xml:space="preserve">s per 2.1) and the </w:t>
            </w:r>
            <w:r w:rsidRPr="00D32DB7">
              <w:rPr>
                <w:color w:val="455560"/>
                <w:sz w:val="18"/>
                <w:szCs w:val="18"/>
                <w:lang w:eastAsia="en-US"/>
              </w:rPr>
              <w:t>primary rate</w:t>
            </w:r>
            <w:r w:rsidR="007634C7" w:rsidRPr="00D32DB7">
              <w:rPr>
                <w:color w:val="455560"/>
                <w:sz w:val="18"/>
                <w:szCs w:val="18"/>
                <w:lang w:eastAsia="en-US"/>
              </w:rPr>
              <w:t xml:space="preserve">.  </w:t>
            </w:r>
            <w:r w:rsidR="0042686B" w:rsidRPr="00D32DB7">
              <w:rPr>
                <w:color w:val="455560"/>
                <w:sz w:val="18"/>
                <w:szCs w:val="18"/>
                <w:lang w:eastAsia="en-US"/>
              </w:rPr>
              <w:t xml:space="preserve">Negative adjustments are expressed as a percentage of payroll and positive adjustments can be expressed as a percentage of payroll </w:t>
            </w:r>
            <w:r w:rsidR="0042686B" w:rsidRPr="00D32DB7">
              <w:rPr>
                <w:color w:val="455560"/>
                <w:sz w:val="18"/>
                <w:szCs w:val="18"/>
              </w:rPr>
              <w:t xml:space="preserve">or </w:t>
            </w:r>
            <w:r w:rsidR="0042686B" w:rsidRPr="00D32DB7">
              <w:rPr>
                <w:color w:val="455560"/>
                <w:sz w:val="18"/>
                <w:szCs w:val="18"/>
                <w:lang w:eastAsia="en-US"/>
              </w:rPr>
              <w:t>monetary amounts (for mature closed employers).</w:t>
            </w:r>
          </w:p>
        </w:tc>
      </w:tr>
      <w:tr w:rsidR="00885F9D" w:rsidRPr="00A36E18" w14:paraId="3FA4A0A9" w14:textId="77777777" w:rsidTr="00A003D4">
        <w:tc>
          <w:tcPr>
            <w:tcW w:w="0" w:type="auto"/>
          </w:tcPr>
          <w:p w14:paraId="559E5E26" w14:textId="77777777" w:rsidR="000C2DFA" w:rsidRPr="00A36E18"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Stabilised contribution rate?</w:t>
            </w:r>
          </w:p>
        </w:tc>
        <w:tc>
          <w:tcPr>
            <w:tcW w:w="0" w:type="auto"/>
          </w:tcPr>
          <w:p w14:paraId="378EAB5A"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 xml:space="preserve">Yes </w:t>
            </w:r>
          </w:p>
        </w:tc>
        <w:tc>
          <w:tcPr>
            <w:tcW w:w="0" w:type="auto"/>
          </w:tcPr>
          <w:p w14:paraId="77507A7A"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No</w:t>
            </w:r>
          </w:p>
        </w:tc>
        <w:tc>
          <w:tcPr>
            <w:tcW w:w="0" w:type="auto"/>
          </w:tcPr>
          <w:p w14:paraId="657791E7"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 xml:space="preserve">Yes </w:t>
            </w:r>
          </w:p>
        </w:tc>
        <w:tc>
          <w:tcPr>
            <w:tcW w:w="0" w:type="auto"/>
          </w:tcPr>
          <w:p w14:paraId="3725473A"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No</w:t>
            </w:r>
          </w:p>
        </w:tc>
        <w:tc>
          <w:tcPr>
            <w:tcW w:w="0" w:type="auto"/>
          </w:tcPr>
          <w:p w14:paraId="2C2A3CA9"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No</w:t>
            </w:r>
          </w:p>
        </w:tc>
        <w:tc>
          <w:tcPr>
            <w:tcW w:w="0" w:type="auto"/>
          </w:tcPr>
          <w:p w14:paraId="6B65E8E6"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No</w:t>
            </w:r>
          </w:p>
        </w:tc>
      </w:tr>
      <w:tr w:rsidR="008B3DA3" w:rsidRPr="00A36E18" w14:paraId="26BFF500" w14:textId="77777777" w:rsidTr="005A0DF7">
        <w:tc>
          <w:tcPr>
            <w:tcW w:w="0" w:type="auto"/>
          </w:tcPr>
          <w:p w14:paraId="330B283D" w14:textId="77777777" w:rsidR="000C2DFA" w:rsidRPr="00A36E18"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Treatment of surplus</w:t>
            </w:r>
          </w:p>
        </w:tc>
        <w:tc>
          <w:tcPr>
            <w:tcW w:w="0" w:type="auto"/>
          </w:tcPr>
          <w:p w14:paraId="4E1376CA"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Covered by stabilisation arrangement</w:t>
            </w:r>
          </w:p>
        </w:tc>
        <w:tc>
          <w:tcPr>
            <w:tcW w:w="0" w:type="auto"/>
          </w:tcPr>
          <w:p w14:paraId="5BC0F9EC" w14:textId="156F1566"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Contributions kept at primary rate</w:t>
            </w:r>
          </w:p>
        </w:tc>
        <w:tc>
          <w:tcPr>
            <w:tcW w:w="0" w:type="auto"/>
          </w:tcPr>
          <w:p w14:paraId="1540CB12"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Covered by stabilisation arrangement</w:t>
            </w:r>
          </w:p>
        </w:tc>
        <w:tc>
          <w:tcPr>
            <w:tcW w:w="0" w:type="auto"/>
            <w:gridSpan w:val="2"/>
          </w:tcPr>
          <w:p w14:paraId="71BB4070" w14:textId="07D4D590"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Preferred approach: contributions kept at primary rate. Reductions may be permitted by the administering authority</w:t>
            </w:r>
          </w:p>
        </w:tc>
        <w:tc>
          <w:tcPr>
            <w:tcW w:w="0" w:type="auto"/>
          </w:tcPr>
          <w:p w14:paraId="37A3ECCB"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Reduce contributions by spreading the surplus over the remaining contract term</w:t>
            </w:r>
          </w:p>
        </w:tc>
      </w:tr>
      <w:tr w:rsidR="00F41839" w:rsidRPr="00A36E18" w14:paraId="340A181D" w14:textId="77777777" w:rsidTr="00E93E0E">
        <w:tc>
          <w:tcPr>
            <w:tcW w:w="0" w:type="auto"/>
          </w:tcPr>
          <w:p w14:paraId="15C79E3F" w14:textId="2D7191A4" w:rsidR="00F41839" w:rsidRPr="00A36E18" w:rsidRDefault="00F41839"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Recognising covenant</w:t>
            </w:r>
          </w:p>
        </w:tc>
        <w:tc>
          <w:tcPr>
            <w:tcW w:w="0" w:type="auto"/>
          </w:tcPr>
          <w:p w14:paraId="260EA663" w14:textId="4A11B500" w:rsidR="00F41839" w:rsidRPr="00D32DB7" w:rsidRDefault="00F41839"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Stabilisation parameters</w:t>
            </w:r>
          </w:p>
        </w:tc>
        <w:tc>
          <w:tcPr>
            <w:tcW w:w="0" w:type="auto"/>
          </w:tcPr>
          <w:p w14:paraId="1B11F317" w14:textId="2FBF5E63" w:rsidR="00F41839" w:rsidRPr="00D32DB7" w:rsidRDefault="00F41839"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Adjust likelihood of success</w:t>
            </w:r>
          </w:p>
        </w:tc>
        <w:tc>
          <w:tcPr>
            <w:tcW w:w="0" w:type="auto"/>
          </w:tcPr>
          <w:p w14:paraId="1AA78C01" w14:textId="4C7F384B" w:rsidR="00F41839" w:rsidRPr="00D32DB7" w:rsidRDefault="00F41839"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Stabilisation parameters</w:t>
            </w:r>
          </w:p>
        </w:tc>
        <w:tc>
          <w:tcPr>
            <w:tcW w:w="0" w:type="auto"/>
            <w:gridSpan w:val="3"/>
          </w:tcPr>
          <w:p w14:paraId="6CF953A0" w14:textId="5378B1F1" w:rsidR="00F41839" w:rsidRPr="00D32DB7" w:rsidRDefault="00F41839"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Adjust likelihood of success</w:t>
            </w:r>
          </w:p>
        </w:tc>
      </w:tr>
      <w:tr w:rsidR="00885F9D" w:rsidRPr="00A36E18" w14:paraId="085185BB" w14:textId="77777777" w:rsidTr="005A0DF7">
        <w:tc>
          <w:tcPr>
            <w:tcW w:w="0" w:type="auto"/>
          </w:tcPr>
          <w:p w14:paraId="2D26BEE4" w14:textId="77777777" w:rsidR="000C2DFA" w:rsidRPr="00A36E18" w:rsidRDefault="000C2DFA" w:rsidP="000C2DFA">
            <w:pPr>
              <w:spacing w:beforeLines="40" w:before="96" w:afterLines="80" w:after="192" w:line="220" w:lineRule="atLeast"/>
              <w:jc w:val="left"/>
              <w:rPr>
                <w:b/>
                <w:color w:val="455560"/>
                <w:sz w:val="18"/>
                <w:szCs w:val="18"/>
                <w:lang w:eastAsia="en-US"/>
              </w:rPr>
            </w:pPr>
            <w:r w:rsidRPr="00A36E18">
              <w:rPr>
                <w:b/>
                <w:color w:val="455560"/>
                <w:sz w:val="18"/>
                <w:szCs w:val="18"/>
                <w:lang w:eastAsia="en-US"/>
              </w:rPr>
              <w:t>Phasing of contribution changes</w:t>
            </w:r>
          </w:p>
        </w:tc>
        <w:tc>
          <w:tcPr>
            <w:tcW w:w="0" w:type="auto"/>
          </w:tcPr>
          <w:p w14:paraId="42760C04"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Covered by stabilisation arrangement</w:t>
            </w:r>
          </w:p>
        </w:tc>
        <w:tc>
          <w:tcPr>
            <w:tcW w:w="0" w:type="auto"/>
          </w:tcPr>
          <w:p w14:paraId="45B7D177"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3 years</w:t>
            </w:r>
          </w:p>
        </w:tc>
        <w:tc>
          <w:tcPr>
            <w:tcW w:w="0" w:type="auto"/>
          </w:tcPr>
          <w:p w14:paraId="37EB9E2B"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Covered by stabilisation arrangement</w:t>
            </w:r>
          </w:p>
        </w:tc>
        <w:tc>
          <w:tcPr>
            <w:tcW w:w="0" w:type="auto"/>
          </w:tcPr>
          <w:p w14:paraId="651FAC96"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3 years</w:t>
            </w:r>
            <w:r w:rsidRPr="00D32DB7">
              <w:rPr>
                <w:color w:val="455560"/>
                <w:sz w:val="18"/>
                <w:szCs w:val="18"/>
                <w:lang w:eastAsia="en-US"/>
              </w:rPr>
              <w:br/>
            </w:r>
          </w:p>
        </w:tc>
        <w:tc>
          <w:tcPr>
            <w:tcW w:w="0" w:type="auto"/>
          </w:tcPr>
          <w:p w14:paraId="0B2CF5F3"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3 years</w:t>
            </w:r>
            <w:r w:rsidRPr="00D32DB7">
              <w:rPr>
                <w:color w:val="455560"/>
                <w:sz w:val="18"/>
                <w:szCs w:val="18"/>
                <w:lang w:eastAsia="en-US"/>
              </w:rPr>
              <w:br/>
            </w:r>
          </w:p>
        </w:tc>
        <w:tc>
          <w:tcPr>
            <w:tcW w:w="0" w:type="auto"/>
          </w:tcPr>
          <w:p w14:paraId="56E41DA1" w14:textId="77777777" w:rsidR="000C2DFA" w:rsidRPr="00D32DB7" w:rsidRDefault="000C2DFA" w:rsidP="000C2DFA">
            <w:pPr>
              <w:spacing w:beforeLines="40" w:before="96" w:afterLines="80" w:after="192" w:line="220" w:lineRule="atLeast"/>
              <w:jc w:val="center"/>
              <w:rPr>
                <w:color w:val="455560"/>
                <w:sz w:val="18"/>
                <w:szCs w:val="18"/>
                <w:lang w:eastAsia="en-US"/>
              </w:rPr>
            </w:pPr>
            <w:r w:rsidRPr="00D32DB7">
              <w:rPr>
                <w:color w:val="455560"/>
                <w:sz w:val="18"/>
                <w:szCs w:val="18"/>
                <w:lang w:eastAsia="en-US"/>
              </w:rPr>
              <w:t>None</w:t>
            </w:r>
          </w:p>
        </w:tc>
      </w:tr>
    </w:tbl>
    <w:p w14:paraId="30325B37" w14:textId="6090AB9E" w:rsidR="00564BCF" w:rsidRPr="00A36E18" w:rsidRDefault="000B3AEC" w:rsidP="00564BCF">
      <w:pPr>
        <w:pStyle w:val="Heading2"/>
        <w:rPr>
          <w:b w:val="0"/>
          <w:bCs/>
          <w:i/>
          <w:iCs w:val="0"/>
        </w:rPr>
      </w:pPr>
      <w:r w:rsidRPr="00A36E18">
        <w:rPr>
          <w:b w:val="0"/>
          <w:bCs/>
          <w:i/>
          <w:iCs w:val="0"/>
        </w:rPr>
        <w:t xml:space="preserve">Employers participating in the </w:t>
      </w:r>
      <w:r w:rsidR="00247369" w:rsidRPr="00A36E18">
        <w:rPr>
          <w:b w:val="0"/>
          <w:bCs/>
          <w:i/>
          <w:iCs w:val="0"/>
        </w:rPr>
        <w:t>F</w:t>
      </w:r>
      <w:r w:rsidRPr="00A36E18">
        <w:rPr>
          <w:b w:val="0"/>
          <w:bCs/>
          <w:i/>
          <w:iCs w:val="0"/>
        </w:rPr>
        <w:t>und under a pass-through agreement will pay a contribution rate as agreed between the contractor and letting authority</w:t>
      </w:r>
    </w:p>
    <w:p w14:paraId="522F1BE4" w14:textId="77777777" w:rsidR="00B346D3" w:rsidRDefault="00B346D3" w:rsidP="00B346D3">
      <w:pPr>
        <w:pStyle w:val="BodyTextGrey"/>
        <w:spacing w:after="0"/>
        <w:rPr>
          <w:i/>
          <w:iCs w:val="0"/>
        </w:rPr>
      </w:pPr>
      <w:r w:rsidRPr="00A36E18">
        <w:rPr>
          <w:i/>
          <w:iCs w:val="0"/>
        </w:rPr>
        <w:t xml:space="preserve">* See </w:t>
      </w:r>
      <w:hyperlink w:anchor="AppendixD" w:history="1">
        <w:r w:rsidRPr="00D32DB7">
          <w:rPr>
            <w:rStyle w:val="Hyperlink"/>
            <w:i/>
            <w:iCs w:val="0"/>
          </w:rPr>
          <w:t>Appendix E</w:t>
        </w:r>
      </w:hyperlink>
      <w:r w:rsidRPr="00A36E18">
        <w:rPr>
          <w:i/>
          <w:iCs w:val="0"/>
        </w:rPr>
        <w:t xml:space="preserve"> for further information on funding targets.</w:t>
      </w:r>
      <w:r w:rsidRPr="00722A4E">
        <w:rPr>
          <w:i/>
          <w:iCs w:val="0"/>
        </w:rPr>
        <w:t xml:space="preserve">  </w:t>
      </w:r>
    </w:p>
    <w:p w14:paraId="3C6A2E71" w14:textId="2914BF91" w:rsidR="00D77D0D" w:rsidRDefault="00343EB3" w:rsidP="00931168">
      <w:pPr>
        <w:pStyle w:val="BodyTextGrey"/>
        <w:rPr>
          <w:i/>
          <w:iCs w:val="0"/>
        </w:rPr>
      </w:pPr>
      <w:r w:rsidRPr="00931168">
        <w:rPr>
          <w:i/>
          <w:iCs w:val="0"/>
        </w:rPr>
        <w:lastRenderedPageBreak/>
        <w:t xml:space="preserve">** The Primary Rate </w:t>
      </w:r>
      <w:r w:rsidR="00931168" w:rsidRPr="00931168">
        <w:rPr>
          <w:i/>
          <w:iCs w:val="0"/>
        </w:rPr>
        <w:t xml:space="preserve">for the whole </w:t>
      </w:r>
      <w:r w:rsidR="00247369">
        <w:rPr>
          <w:i/>
          <w:iCs w:val="0"/>
        </w:rPr>
        <w:t>F</w:t>
      </w:r>
      <w:r w:rsidR="00931168" w:rsidRPr="00931168">
        <w:rPr>
          <w:i/>
          <w:iCs w:val="0"/>
        </w:rPr>
        <w:t>und is the weighted average (by payroll) of the individual employers’ primary rates</w:t>
      </w:r>
    </w:p>
    <w:p w14:paraId="0DC3D8DF" w14:textId="007D0755" w:rsidR="00343EB3" w:rsidRPr="00931168" w:rsidRDefault="009B262B" w:rsidP="00931168">
      <w:pPr>
        <w:pStyle w:val="BodyTextGrey"/>
        <w:rPr>
          <w:i/>
          <w:iCs w:val="0"/>
        </w:rPr>
      </w:pPr>
      <w:r>
        <w:t xml:space="preserve">The </w:t>
      </w:r>
      <w:r w:rsidR="00C52937">
        <w:t>F</w:t>
      </w:r>
      <w:r>
        <w:t>und manage</w:t>
      </w:r>
      <w:r w:rsidR="00193B6E">
        <w:t>s</w:t>
      </w:r>
      <w:r>
        <w:t xml:space="preserve"> f</w:t>
      </w:r>
      <w:r w:rsidRPr="009B262B">
        <w:t xml:space="preserve">unding risks as part of the </w:t>
      </w:r>
      <w:r w:rsidR="00CA14D3">
        <w:t xml:space="preserve">wider </w:t>
      </w:r>
      <w:r w:rsidRPr="009B262B">
        <w:t>risk management framework</w:t>
      </w:r>
      <w:r w:rsidR="000A0899">
        <w:t xml:space="preserve">, as documented in the </w:t>
      </w:r>
      <w:r w:rsidR="00C52937">
        <w:t>F</w:t>
      </w:r>
      <w:r w:rsidR="000A0899">
        <w:t>und’s risk register.  The funding</w:t>
      </w:r>
      <w:r w:rsidR="00E048D5">
        <w:t xml:space="preserve">-specific </w:t>
      </w:r>
      <w:r w:rsidR="000A0899">
        <w:t xml:space="preserve">risks </w:t>
      </w:r>
      <w:r w:rsidR="00E048D5">
        <w:t xml:space="preserve">identified and managed by the </w:t>
      </w:r>
      <w:r w:rsidR="00C52937">
        <w:t>F</w:t>
      </w:r>
      <w:r w:rsidR="00E048D5">
        <w:t xml:space="preserve">und are set out in </w:t>
      </w:r>
      <w:hyperlink w:anchor="AppendixE" w:history="1">
        <w:r w:rsidR="00CA55BF" w:rsidRPr="0053460B">
          <w:rPr>
            <w:rStyle w:val="Hyperlink"/>
          </w:rPr>
          <w:t>A</w:t>
        </w:r>
        <w:r w:rsidR="00E048D5" w:rsidRPr="0053460B">
          <w:rPr>
            <w:rStyle w:val="Hyperlink"/>
          </w:rPr>
          <w:t xml:space="preserve">ppendix </w:t>
        </w:r>
        <w:r w:rsidR="007C4B4F">
          <w:rPr>
            <w:rStyle w:val="Hyperlink"/>
          </w:rPr>
          <w:t>D</w:t>
        </w:r>
        <w:r w:rsidR="00E048D5" w:rsidRPr="0053460B">
          <w:rPr>
            <w:rStyle w:val="Hyperlink"/>
          </w:rPr>
          <w:t xml:space="preserve"> – </w:t>
        </w:r>
        <w:r w:rsidR="00DF5B46" w:rsidRPr="0053460B">
          <w:rPr>
            <w:rStyle w:val="Hyperlink"/>
          </w:rPr>
          <w:t>R</w:t>
        </w:r>
        <w:r w:rsidR="00E048D5" w:rsidRPr="0053460B">
          <w:rPr>
            <w:rStyle w:val="Hyperlink"/>
          </w:rPr>
          <w:t xml:space="preserve">isks and </w:t>
        </w:r>
        <w:r w:rsidR="00DF5B46" w:rsidRPr="0053460B">
          <w:rPr>
            <w:rStyle w:val="Hyperlink"/>
          </w:rPr>
          <w:t>C</w:t>
        </w:r>
        <w:r w:rsidR="00E048D5" w:rsidRPr="0053460B">
          <w:rPr>
            <w:rStyle w:val="Hyperlink"/>
          </w:rPr>
          <w:t>ontrols</w:t>
        </w:r>
      </w:hyperlink>
      <w:r w:rsidR="00E048D5">
        <w:t>.</w:t>
      </w:r>
    </w:p>
    <w:p w14:paraId="5A3F6BEC" w14:textId="77777777" w:rsidR="003F47B2" w:rsidRDefault="003F47B2" w:rsidP="00DD5E25">
      <w:pPr>
        <w:pStyle w:val="Heading2Num"/>
      </w:pPr>
      <w:r>
        <w:t xml:space="preserve">Making contribution rates stable  </w:t>
      </w:r>
    </w:p>
    <w:p w14:paraId="4E1C2E07" w14:textId="2F098FBB" w:rsidR="003F47B2" w:rsidRDefault="003F47B2" w:rsidP="003F47B2">
      <w:pPr>
        <w:pStyle w:val="BulletHymans"/>
        <w:numPr>
          <w:ilvl w:val="0"/>
          <w:numId w:val="0"/>
        </w:numPr>
      </w:pPr>
      <w:r>
        <w:t xml:space="preserve">Making employer contribution rates </w:t>
      </w:r>
      <w:r w:rsidR="00D32DB7">
        <w:t>reasonably stable</w:t>
      </w:r>
      <w:r>
        <w:t xml:space="preserve"> is an important funding objective. </w:t>
      </w:r>
      <w:r w:rsidRPr="004F5C25">
        <w:t xml:space="preserve">The </w:t>
      </w:r>
      <w:r w:rsidR="0063606F" w:rsidRPr="004F5C25">
        <w:t>F</w:t>
      </w:r>
      <w:r w:rsidRPr="004F5C25">
        <w:t>und may adopt a stabilised approach to setting contributions for individual employers, which keeps contribution variations within a pre-determined range from year-to-year.</w:t>
      </w:r>
    </w:p>
    <w:p w14:paraId="2A1E8E99" w14:textId="4D085FC7" w:rsidR="003F47B2" w:rsidRDefault="003F47B2" w:rsidP="003F47B2">
      <w:pPr>
        <w:pStyle w:val="BulletHymans"/>
        <w:numPr>
          <w:ilvl w:val="0"/>
          <w:numId w:val="0"/>
        </w:numPr>
      </w:pPr>
      <w:r w:rsidRPr="008E6618">
        <w:t xml:space="preserve">After taking advice from the fund actuary, the administering authority believes </w:t>
      </w:r>
      <w:r w:rsidRPr="004F5C25">
        <w:t>a stabilised approach is a prudent longer-term strategy</w:t>
      </w:r>
      <w:r w:rsidR="000B1E8C" w:rsidRPr="004F5C25">
        <w:t>.</w:t>
      </w:r>
      <w:r>
        <w:t xml:space="preserve"> </w:t>
      </w:r>
    </w:p>
    <w:p w14:paraId="71514511" w14:textId="77777777" w:rsidR="003F47B2" w:rsidRPr="00D076C1" w:rsidRDefault="003F47B2" w:rsidP="003F47B2">
      <w:pPr>
        <w:pStyle w:val="BulletHymans"/>
        <w:numPr>
          <w:ilvl w:val="0"/>
          <w:numId w:val="0"/>
        </w:numPr>
        <w:spacing w:after="0" w:line="240" w:lineRule="auto"/>
      </w:pPr>
    </w:p>
    <w:p w14:paraId="55D393F0" w14:textId="554F4203" w:rsidR="003F47B2" w:rsidRDefault="003F47B2" w:rsidP="003F47B2">
      <w:pPr>
        <w:pStyle w:val="BodyTextGrey"/>
      </w:pPr>
      <w:r>
        <w:rPr>
          <w:b/>
          <w:bCs/>
        </w:rPr>
        <w:t xml:space="preserve">Table </w:t>
      </w:r>
      <w:r w:rsidR="000B1E8C">
        <w:rPr>
          <w:b/>
          <w:bCs/>
        </w:rPr>
        <w:t>3</w:t>
      </w:r>
      <w:r>
        <w:rPr>
          <w:b/>
          <w:bCs/>
        </w:rPr>
        <w:t>: current stabilisation approach</w:t>
      </w:r>
    </w:p>
    <w:tbl>
      <w:tblPr>
        <w:tblStyle w:val="TableGrid"/>
        <w:tblW w:w="4615" w:type="dxa"/>
        <w:tblBorders>
          <w:top w:val="none" w:sz="0" w:space="0" w:color="auto"/>
          <w:left w:val="none" w:sz="0" w:space="0" w:color="auto"/>
          <w:bottom w:val="none" w:sz="0" w:space="0" w:color="auto"/>
          <w:right w:val="none" w:sz="0" w:space="0" w:color="auto"/>
          <w:insideH w:val="single" w:sz="8" w:space="0" w:color="455560" w:themeColor="accent5"/>
          <w:insideV w:val="none" w:sz="0" w:space="0" w:color="auto"/>
        </w:tblBorders>
        <w:tblLook w:val="04A0" w:firstRow="1" w:lastRow="0" w:firstColumn="1" w:lastColumn="0" w:noHBand="0" w:noVBand="1"/>
      </w:tblPr>
      <w:tblGrid>
        <w:gridCol w:w="2552"/>
        <w:gridCol w:w="2063"/>
      </w:tblGrid>
      <w:tr w:rsidR="0080000E" w14:paraId="64A6D57F" w14:textId="77777777" w:rsidTr="0080000E">
        <w:tc>
          <w:tcPr>
            <w:tcW w:w="2552" w:type="dxa"/>
            <w:tcBorders>
              <w:top w:val="single" w:sz="8" w:space="0" w:color="455560" w:themeColor="accent5"/>
            </w:tcBorders>
          </w:tcPr>
          <w:p w14:paraId="7806F968" w14:textId="77777777" w:rsidR="0080000E" w:rsidRPr="00117D48" w:rsidRDefault="0080000E" w:rsidP="00751E37">
            <w:pPr>
              <w:pStyle w:val="BodyTextGrey"/>
              <w:spacing w:beforeLines="60" w:before="144" w:afterLines="60" w:after="144" w:line="220" w:lineRule="atLeast"/>
              <w:rPr>
                <w:b/>
                <w:sz w:val="18"/>
                <w:szCs w:val="18"/>
              </w:rPr>
            </w:pPr>
            <w:r w:rsidRPr="00117D48">
              <w:rPr>
                <w:b/>
                <w:sz w:val="18"/>
                <w:szCs w:val="18"/>
              </w:rPr>
              <w:t xml:space="preserve">Maximum contribution </w:t>
            </w:r>
            <w:proofErr w:type="gramStart"/>
            <w:r w:rsidRPr="00117D48">
              <w:rPr>
                <w:b/>
                <w:sz w:val="18"/>
                <w:szCs w:val="18"/>
              </w:rPr>
              <w:t>increase</w:t>
            </w:r>
            <w:proofErr w:type="gramEnd"/>
            <w:r w:rsidRPr="00117D48">
              <w:rPr>
                <w:b/>
                <w:sz w:val="18"/>
                <w:szCs w:val="18"/>
              </w:rPr>
              <w:t xml:space="preserve"> per year</w:t>
            </w:r>
          </w:p>
        </w:tc>
        <w:tc>
          <w:tcPr>
            <w:tcW w:w="2063" w:type="dxa"/>
            <w:tcBorders>
              <w:top w:val="single" w:sz="8" w:space="0" w:color="455560" w:themeColor="accent5"/>
            </w:tcBorders>
          </w:tcPr>
          <w:p w14:paraId="3E9B0032" w14:textId="093AE0D3" w:rsidR="0080000E" w:rsidRPr="00D32DB7" w:rsidRDefault="0080000E" w:rsidP="00751E37">
            <w:pPr>
              <w:pStyle w:val="BodyTextGrey"/>
              <w:spacing w:beforeLines="60" w:before="144" w:afterLines="60" w:after="144" w:line="220" w:lineRule="atLeast"/>
              <w:jc w:val="center"/>
              <w:rPr>
                <w:sz w:val="18"/>
                <w:szCs w:val="18"/>
              </w:rPr>
            </w:pPr>
            <w:r w:rsidRPr="00D32DB7">
              <w:rPr>
                <w:sz w:val="18"/>
                <w:szCs w:val="18"/>
              </w:rPr>
              <w:t>+1% of pay</w:t>
            </w:r>
          </w:p>
        </w:tc>
      </w:tr>
      <w:tr w:rsidR="0080000E" w14:paraId="7CE01BEE" w14:textId="77777777" w:rsidTr="0080000E">
        <w:tc>
          <w:tcPr>
            <w:tcW w:w="2552" w:type="dxa"/>
          </w:tcPr>
          <w:p w14:paraId="6F596524" w14:textId="77777777" w:rsidR="0080000E" w:rsidRPr="00117D48" w:rsidRDefault="0080000E" w:rsidP="00751E37">
            <w:pPr>
              <w:pStyle w:val="BodyTextGrey"/>
              <w:spacing w:beforeLines="60" w:before="144" w:afterLines="60" w:after="144" w:line="220" w:lineRule="atLeast"/>
              <w:rPr>
                <w:b/>
                <w:sz w:val="18"/>
                <w:szCs w:val="18"/>
              </w:rPr>
            </w:pPr>
            <w:r w:rsidRPr="00117D48">
              <w:rPr>
                <w:b/>
                <w:sz w:val="18"/>
                <w:szCs w:val="18"/>
              </w:rPr>
              <w:t xml:space="preserve">Maximum contribution </w:t>
            </w:r>
            <w:proofErr w:type="gramStart"/>
            <w:r w:rsidRPr="00117D48">
              <w:rPr>
                <w:b/>
                <w:sz w:val="18"/>
                <w:szCs w:val="18"/>
              </w:rPr>
              <w:t>decrease</w:t>
            </w:r>
            <w:proofErr w:type="gramEnd"/>
            <w:r w:rsidRPr="00117D48">
              <w:rPr>
                <w:b/>
                <w:sz w:val="18"/>
                <w:szCs w:val="18"/>
              </w:rPr>
              <w:t xml:space="preserve"> per year</w:t>
            </w:r>
          </w:p>
        </w:tc>
        <w:tc>
          <w:tcPr>
            <w:tcW w:w="2063" w:type="dxa"/>
          </w:tcPr>
          <w:p w14:paraId="538A0785" w14:textId="62D2261A" w:rsidR="0080000E" w:rsidRPr="00D32DB7" w:rsidRDefault="0080000E" w:rsidP="00751E37">
            <w:pPr>
              <w:pStyle w:val="BodyTextGrey"/>
              <w:spacing w:beforeLines="60" w:before="144" w:afterLines="60" w:after="144" w:line="220" w:lineRule="atLeast"/>
              <w:jc w:val="center"/>
              <w:rPr>
                <w:sz w:val="18"/>
                <w:szCs w:val="18"/>
              </w:rPr>
            </w:pPr>
            <w:r w:rsidRPr="00D32DB7">
              <w:rPr>
                <w:sz w:val="18"/>
                <w:szCs w:val="18"/>
              </w:rPr>
              <w:t>-1% of pay</w:t>
            </w:r>
          </w:p>
        </w:tc>
      </w:tr>
    </w:tbl>
    <w:p w14:paraId="3F5896F9" w14:textId="77777777" w:rsidR="008F37CD" w:rsidRDefault="008F37CD" w:rsidP="003B05B8">
      <w:pPr>
        <w:pStyle w:val="BodyTextGrey"/>
      </w:pPr>
    </w:p>
    <w:p w14:paraId="668DFBA9" w14:textId="0492DA01" w:rsidR="008F37CD" w:rsidRPr="008F37CD" w:rsidRDefault="008F37CD" w:rsidP="003B05B8">
      <w:pPr>
        <w:pStyle w:val="BodyTextGrey"/>
        <w:rPr>
          <w:iCs w:val="0"/>
        </w:rPr>
      </w:pPr>
      <w:r w:rsidRPr="00D32DB7">
        <w:rPr>
          <w:iCs w:val="0"/>
        </w:rPr>
        <w:t>The Fund may exercise discretion over the phasing of the maximum contribution increase/decrease per year subject to a maximum increase/decrease of 3% of pay over the 3-year inter-valuation period.’</w:t>
      </w:r>
    </w:p>
    <w:p w14:paraId="57E1B3FA" w14:textId="7F7E3A4F" w:rsidR="007E34F3" w:rsidRPr="007E34F3" w:rsidRDefault="003F47B2" w:rsidP="007E34F3">
      <w:pPr>
        <w:pStyle w:val="BodyTextGrey"/>
      </w:pPr>
      <w:r w:rsidRPr="00137BB9">
        <w:t xml:space="preserve">Stabilisation criteria and limits are reviewed during the valuation process. The administering authority may review them between valuations to respond to membership or employer changes. </w:t>
      </w:r>
    </w:p>
    <w:p w14:paraId="6764BEA8" w14:textId="4EA0F2DD" w:rsidR="00F753CD" w:rsidRDefault="007E34F3" w:rsidP="003B05B8">
      <w:pPr>
        <w:pStyle w:val="BodyTextGrey"/>
      </w:pPr>
      <w:r w:rsidRPr="007E34F3">
        <w:rPr>
          <w:b/>
          <w:bCs/>
        </w:rPr>
        <w:t xml:space="preserve">Contribution floor – </w:t>
      </w:r>
      <w:r w:rsidRPr="007E34F3">
        <w:t xml:space="preserve">to further meet the key objectives of stability and long-term cost efficiency, the Fund has set a contribution floor which limits long-term, open employers from paying less than 16% of pay (except in specific circumstances). </w:t>
      </w:r>
    </w:p>
    <w:p w14:paraId="351769F5" w14:textId="77777777" w:rsidR="007E34F3" w:rsidRDefault="007E34F3" w:rsidP="003B05B8">
      <w:pPr>
        <w:pStyle w:val="BodyTextGrey"/>
      </w:pPr>
    </w:p>
    <w:p w14:paraId="17AE30FE" w14:textId="70125C89" w:rsidR="002458E8" w:rsidRDefault="00F553B4" w:rsidP="002458E8">
      <w:pPr>
        <w:pStyle w:val="Heading2Num"/>
      </w:pPr>
      <w:r>
        <w:t>L</w:t>
      </w:r>
      <w:r w:rsidR="00A51D51">
        <w:t>i</w:t>
      </w:r>
      <w:r>
        <w:t>nks to investment strategy</w:t>
      </w:r>
    </w:p>
    <w:p w14:paraId="4872661B" w14:textId="13F1697E" w:rsidR="00A51D51" w:rsidRDefault="00A51D51" w:rsidP="00A51D51">
      <w:pPr>
        <w:pStyle w:val="BodyTextGrey"/>
        <w:rPr>
          <w:highlight w:val="lightGray"/>
        </w:rPr>
      </w:pPr>
      <w:r>
        <w:t xml:space="preserve">The funding strategy sets out how money will be collected from employers to meet the </w:t>
      </w:r>
      <w:r w:rsidR="003F1592">
        <w:t>F</w:t>
      </w:r>
      <w:r>
        <w:t>und’s obligations. Contributions, assets and other income are then invested according to an investment strategy set by the ad</w:t>
      </w:r>
      <w:r w:rsidRPr="00575F3B">
        <w:t xml:space="preserve">ministering </w:t>
      </w:r>
      <w:r>
        <w:t>a</w:t>
      </w:r>
      <w:r w:rsidRPr="00575F3B">
        <w:t>uthority</w:t>
      </w:r>
      <w:r>
        <w:t xml:space="preserve">. </w:t>
      </w:r>
    </w:p>
    <w:p w14:paraId="67C3F631" w14:textId="60E32DBB" w:rsidR="00A51D51" w:rsidRDefault="00A51D51" w:rsidP="00A51D51">
      <w:pPr>
        <w:pStyle w:val="BodyTextGrey"/>
      </w:pPr>
      <w:r>
        <w:t xml:space="preserve">The funding and investment strategies are closely linked. The </w:t>
      </w:r>
      <w:r w:rsidR="003F1592">
        <w:t>F</w:t>
      </w:r>
      <w:r>
        <w:t xml:space="preserve">und must be able to pay benefits when they are due – those payments are met from a combination of contributions (through the funding strategy) and asset returns and income (through the investment strategy). If investment returns or income fall short the </w:t>
      </w:r>
      <w:r w:rsidR="003F1592">
        <w:t>F</w:t>
      </w:r>
      <w:r>
        <w:t xml:space="preserve">und won’t be able to pay benefits, so higher contributions would be required from employers. </w:t>
      </w:r>
    </w:p>
    <w:p w14:paraId="625F0E5C" w14:textId="065E39FA" w:rsidR="00992289" w:rsidRDefault="004C45C5" w:rsidP="00A51D51">
      <w:pPr>
        <w:pStyle w:val="BodyTextGrey"/>
      </w:pPr>
      <w:r w:rsidRPr="00C12DD0">
        <w:t xml:space="preserve">The investment strategy is designed allowing for the funding position determined </w:t>
      </w:r>
      <w:r w:rsidR="00C0438B" w:rsidRPr="00C12DD0">
        <w:t>on an appropriate and prudent basis</w:t>
      </w:r>
      <w:r w:rsidR="00A121FA">
        <w:t>,</w:t>
      </w:r>
      <w:r w:rsidR="000A3733">
        <w:t xml:space="preserve"> with the objective of achieving the </w:t>
      </w:r>
      <w:r w:rsidR="00C12DD0">
        <w:t xml:space="preserve">funding objective for each employer group </w:t>
      </w:r>
      <w:r w:rsidR="0064074F">
        <w:t>over</w:t>
      </w:r>
      <w:r w:rsidR="00C12DD0">
        <w:t xml:space="preserve"> the specific time horizon</w:t>
      </w:r>
      <w:r w:rsidR="000A3733">
        <w:t>.</w:t>
      </w:r>
      <w:r w:rsidR="00A121FA">
        <w:t xml:space="preserve"> </w:t>
      </w:r>
    </w:p>
    <w:p w14:paraId="0F07CBC6" w14:textId="57401AD0" w:rsidR="00D179B2" w:rsidRDefault="00D179B2" w:rsidP="00A51D51">
      <w:pPr>
        <w:pStyle w:val="BodyTextGrey"/>
      </w:pPr>
      <w:r>
        <w:t xml:space="preserve">The </w:t>
      </w:r>
      <w:r w:rsidR="0064074F">
        <w:t>F</w:t>
      </w:r>
      <w:r>
        <w:t xml:space="preserve">und’s </w:t>
      </w:r>
      <w:r w:rsidR="00293FA8">
        <w:t xml:space="preserve">strategic </w:t>
      </w:r>
      <w:r>
        <w:t xml:space="preserve">investment strategy </w:t>
      </w:r>
      <w:r w:rsidR="00293FA8">
        <w:t xml:space="preserve">as at 31 March 2025 </w:t>
      </w:r>
      <w:r w:rsidR="00CB2BAF">
        <w:t xml:space="preserve">is summarised in the table, with full details available </w:t>
      </w:r>
      <w:hyperlink r:id="rId20" w:history="1">
        <w:r w:rsidR="00DD40F2" w:rsidRPr="00DD40F2">
          <w:rPr>
            <w:rStyle w:val="Hyperlink"/>
          </w:rPr>
          <w:t>here</w:t>
        </w:r>
      </w:hyperlink>
      <w:r w:rsidR="00DD40F2">
        <w:t>.</w:t>
      </w:r>
    </w:p>
    <w:p w14:paraId="5BA38393" w14:textId="77777777" w:rsidR="00D4591A" w:rsidRDefault="00D4591A" w:rsidP="00A51D51">
      <w:pPr>
        <w:pStyle w:val="BodyTextGrey"/>
      </w:pPr>
    </w:p>
    <w:tbl>
      <w:tblPr>
        <w:tblStyle w:val="TableGrid"/>
        <w:tblW w:w="0" w:type="auto"/>
        <w:tblLook w:val="04A0" w:firstRow="1" w:lastRow="0" w:firstColumn="1" w:lastColumn="0" w:noHBand="0" w:noVBand="1"/>
      </w:tblPr>
      <w:tblGrid>
        <w:gridCol w:w="4955"/>
        <w:gridCol w:w="4956"/>
      </w:tblGrid>
      <w:tr w:rsidR="00293FA8" w14:paraId="2532F53B" w14:textId="77777777" w:rsidTr="00293FA8">
        <w:tc>
          <w:tcPr>
            <w:tcW w:w="4955" w:type="dxa"/>
          </w:tcPr>
          <w:p w14:paraId="50665109" w14:textId="3FD62488" w:rsidR="00293FA8" w:rsidRPr="00F80CE0" w:rsidRDefault="00293FA8" w:rsidP="00A51D51">
            <w:pPr>
              <w:pStyle w:val="BodyTextGrey"/>
              <w:rPr>
                <w:b/>
                <w:bCs/>
              </w:rPr>
            </w:pPr>
            <w:r w:rsidRPr="00F80CE0">
              <w:rPr>
                <w:b/>
                <w:bCs/>
              </w:rPr>
              <w:t>Asset class</w:t>
            </w:r>
          </w:p>
        </w:tc>
        <w:tc>
          <w:tcPr>
            <w:tcW w:w="4956" w:type="dxa"/>
          </w:tcPr>
          <w:p w14:paraId="003FA894" w14:textId="5581D2DA" w:rsidR="00293FA8" w:rsidRPr="00F80CE0" w:rsidRDefault="00293FA8" w:rsidP="00A51D51">
            <w:pPr>
              <w:pStyle w:val="BodyTextGrey"/>
              <w:rPr>
                <w:b/>
                <w:bCs/>
              </w:rPr>
            </w:pPr>
            <w:r w:rsidRPr="00F80CE0">
              <w:rPr>
                <w:b/>
                <w:bCs/>
              </w:rPr>
              <w:t>Allocation</w:t>
            </w:r>
          </w:p>
        </w:tc>
      </w:tr>
      <w:tr w:rsidR="00293FA8" w14:paraId="0E58416D" w14:textId="77777777" w:rsidTr="00293FA8">
        <w:tc>
          <w:tcPr>
            <w:tcW w:w="4955" w:type="dxa"/>
          </w:tcPr>
          <w:p w14:paraId="2EF6AC82" w14:textId="61296A3A" w:rsidR="00293FA8" w:rsidRPr="00D32DB7" w:rsidRDefault="002040F1" w:rsidP="00A51D51">
            <w:pPr>
              <w:pStyle w:val="BodyTextGrey"/>
            </w:pPr>
            <w:r w:rsidRPr="00D32DB7">
              <w:t xml:space="preserve">Global </w:t>
            </w:r>
            <w:r w:rsidR="008C58FB" w:rsidRPr="00D32DB7">
              <w:t>Equities</w:t>
            </w:r>
            <w:r w:rsidR="00DD1068" w:rsidRPr="00D32DB7">
              <w:t xml:space="preserve"> (unhedged)</w:t>
            </w:r>
          </w:p>
        </w:tc>
        <w:tc>
          <w:tcPr>
            <w:tcW w:w="4956" w:type="dxa"/>
          </w:tcPr>
          <w:p w14:paraId="4844B172" w14:textId="15C92A65" w:rsidR="00293FA8" w:rsidRPr="00D32DB7" w:rsidRDefault="008C58FB" w:rsidP="00A51D51">
            <w:pPr>
              <w:pStyle w:val="BodyTextGrey"/>
            </w:pPr>
            <w:r w:rsidRPr="00D32DB7">
              <w:t>38%</w:t>
            </w:r>
          </w:p>
        </w:tc>
      </w:tr>
      <w:tr w:rsidR="00293FA8" w14:paraId="261DCF03" w14:textId="77777777" w:rsidTr="00293FA8">
        <w:tc>
          <w:tcPr>
            <w:tcW w:w="4955" w:type="dxa"/>
          </w:tcPr>
          <w:p w14:paraId="6AD2B25C" w14:textId="50F9AC1D" w:rsidR="00293FA8" w:rsidRPr="00D32DB7" w:rsidRDefault="008C58FB" w:rsidP="00A51D51">
            <w:pPr>
              <w:pStyle w:val="BodyTextGrey"/>
            </w:pPr>
            <w:r w:rsidRPr="00D32DB7">
              <w:t xml:space="preserve">EM </w:t>
            </w:r>
            <w:r w:rsidR="00DD1068" w:rsidRPr="00D32DB7">
              <w:t>Equities (unhedged)</w:t>
            </w:r>
          </w:p>
        </w:tc>
        <w:tc>
          <w:tcPr>
            <w:tcW w:w="4956" w:type="dxa"/>
          </w:tcPr>
          <w:p w14:paraId="3011635E" w14:textId="3A69C327" w:rsidR="00293FA8" w:rsidRPr="00D32DB7" w:rsidRDefault="00DD1068" w:rsidP="00A51D51">
            <w:pPr>
              <w:pStyle w:val="BodyTextGrey"/>
            </w:pPr>
            <w:r w:rsidRPr="00D32DB7">
              <w:t>2%</w:t>
            </w:r>
          </w:p>
        </w:tc>
      </w:tr>
      <w:tr w:rsidR="00293FA8" w14:paraId="105B25A9" w14:textId="77777777" w:rsidTr="00293FA8">
        <w:tc>
          <w:tcPr>
            <w:tcW w:w="4955" w:type="dxa"/>
          </w:tcPr>
          <w:p w14:paraId="609B72F7" w14:textId="3E95B9E6" w:rsidR="00293FA8" w:rsidRPr="00D32DB7" w:rsidRDefault="00DD1068" w:rsidP="00A51D51">
            <w:pPr>
              <w:pStyle w:val="BodyTextGrey"/>
            </w:pPr>
            <w:r w:rsidRPr="00D32DB7">
              <w:t>Private Equity</w:t>
            </w:r>
          </w:p>
        </w:tc>
        <w:tc>
          <w:tcPr>
            <w:tcW w:w="4956" w:type="dxa"/>
          </w:tcPr>
          <w:p w14:paraId="46965582" w14:textId="7C9508BB" w:rsidR="00293FA8" w:rsidRPr="00D32DB7" w:rsidRDefault="00DD1068" w:rsidP="00A51D51">
            <w:pPr>
              <w:pStyle w:val="BodyTextGrey"/>
            </w:pPr>
            <w:r w:rsidRPr="00D32DB7">
              <w:t>8%</w:t>
            </w:r>
          </w:p>
        </w:tc>
      </w:tr>
      <w:tr w:rsidR="00293FA8" w14:paraId="73ECF586" w14:textId="77777777" w:rsidTr="00293FA8">
        <w:tc>
          <w:tcPr>
            <w:tcW w:w="4955" w:type="dxa"/>
          </w:tcPr>
          <w:p w14:paraId="13C0782C" w14:textId="1D02B200" w:rsidR="00293FA8" w:rsidRPr="00D32DB7" w:rsidRDefault="00DD1068" w:rsidP="00A51D51">
            <w:pPr>
              <w:pStyle w:val="BodyTextGrey"/>
            </w:pPr>
            <w:r w:rsidRPr="00D32DB7">
              <w:t xml:space="preserve">Property </w:t>
            </w:r>
          </w:p>
        </w:tc>
        <w:tc>
          <w:tcPr>
            <w:tcW w:w="4956" w:type="dxa"/>
          </w:tcPr>
          <w:p w14:paraId="59CEF72A" w14:textId="1D701005" w:rsidR="00293FA8" w:rsidRPr="00D32DB7" w:rsidRDefault="00DD1068" w:rsidP="00A51D51">
            <w:pPr>
              <w:pStyle w:val="BodyTextGrey"/>
            </w:pPr>
            <w:r w:rsidRPr="00D32DB7">
              <w:t>12%</w:t>
            </w:r>
          </w:p>
        </w:tc>
      </w:tr>
      <w:tr w:rsidR="00293FA8" w14:paraId="38BDBE15" w14:textId="77777777" w:rsidTr="00293FA8">
        <w:tc>
          <w:tcPr>
            <w:tcW w:w="4955" w:type="dxa"/>
          </w:tcPr>
          <w:p w14:paraId="64940BC4" w14:textId="4DA3EDDF" w:rsidR="00293FA8" w:rsidRPr="00D32DB7" w:rsidRDefault="003C074C" w:rsidP="00A51D51">
            <w:pPr>
              <w:pStyle w:val="BodyTextGrey"/>
            </w:pPr>
            <w:r w:rsidRPr="00D32DB7">
              <w:t>BBB Credit (14 yr maturity)</w:t>
            </w:r>
          </w:p>
        </w:tc>
        <w:tc>
          <w:tcPr>
            <w:tcW w:w="4956" w:type="dxa"/>
          </w:tcPr>
          <w:p w14:paraId="1E94423C" w14:textId="3DE85BD5" w:rsidR="003C074C" w:rsidRPr="00D32DB7" w:rsidRDefault="003C074C" w:rsidP="00A51D51">
            <w:pPr>
              <w:pStyle w:val="BodyTextGrey"/>
            </w:pPr>
            <w:r w:rsidRPr="00D32DB7">
              <w:t>6.4</w:t>
            </w:r>
            <w:r w:rsidR="000015CC" w:rsidRPr="00D32DB7">
              <w:t>0</w:t>
            </w:r>
            <w:r w:rsidRPr="00D32DB7">
              <w:t>%</w:t>
            </w:r>
          </w:p>
        </w:tc>
      </w:tr>
      <w:tr w:rsidR="003C074C" w14:paraId="61ACCEC4" w14:textId="77777777" w:rsidTr="00293FA8">
        <w:tc>
          <w:tcPr>
            <w:tcW w:w="4955" w:type="dxa"/>
          </w:tcPr>
          <w:p w14:paraId="5B7F2C42" w14:textId="5BAD2A03" w:rsidR="003C074C" w:rsidRPr="00D32DB7" w:rsidRDefault="005C4E06" w:rsidP="00A51D51">
            <w:pPr>
              <w:pStyle w:val="BodyTextGrey"/>
            </w:pPr>
            <w:r w:rsidRPr="00D32DB7">
              <w:t>Index linked gilt (14 yr maturity)</w:t>
            </w:r>
          </w:p>
        </w:tc>
        <w:tc>
          <w:tcPr>
            <w:tcW w:w="4956" w:type="dxa"/>
          </w:tcPr>
          <w:p w14:paraId="38D1BF83" w14:textId="1ABBC17D" w:rsidR="003C074C" w:rsidRPr="00D32DB7" w:rsidRDefault="005C4E06" w:rsidP="00A51D51">
            <w:pPr>
              <w:pStyle w:val="BodyTextGrey"/>
            </w:pPr>
            <w:r w:rsidRPr="00D32DB7">
              <w:t>7.2</w:t>
            </w:r>
            <w:r w:rsidR="000015CC" w:rsidRPr="00D32DB7">
              <w:t>0</w:t>
            </w:r>
            <w:r w:rsidRPr="00D32DB7">
              <w:t>%</w:t>
            </w:r>
          </w:p>
        </w:tc>
      </w:tr>
      <w:tr w:rsidR="005C4E06" w14:paraId="1A4519D4" w14:textId="77777777" w:rsidTr="00293FA8">
        <w:tc>
          <w:tcPr>
            <w:tcW w:w="4955" w:type="dxa"/>
          </w:tcPr>
          <w:p w14:paraId="3AEC25E1" w14:textId="6B8F1BE3" w:rsidR="005C4E06" w:rsidRPr="00D32DB7" w:rsidRDefault="000523B3" w:rsidP="00A51D51">
            <w:pPr>
              <w:pStyle w:val="BodyTextGrey"/>
            </w:pPr>
            <w:r w:rsidRPr="00D32DB7">
              <w:t>High Yield Credit (unhedged)</w:t>
            </w:r>
          </w:p>
        </w:tc>
        <w:tc>
          <w:tcPr>
            <w:tcW w:w="4956" w:type="dxa"/>
          </w:tcPr>
          <w:p w14:paraId="1076025B" w14:textId="78941121" w:rsidR="005C4E06" w:rsidRPr="00D32DB7" w:rsidRDefault="000015CC" w:rsidP="00A51D51">
            <w:pPr>
              <w:pStyle w:val="BodyTextGrey"/>
            </w:pPr>
            <w:r w:rsidRPr="00D32DB7">
              <w:t>6.40%</w:t>
            </w:r>
          </w:p>
        </w:tc>
      </w:tr>
      <w:tr w:rsidR="000015CC" w14:paraId="3DB9A166" w14:textId="77777777" w:rsidTr="00293FA8">
        <w:tc>
          <w:tcPr>
            <w:tcW w:w="4955" w:type="dxa"/>
          </w:tcPr>
          <w:p w14:paraId="03EA9959" w14:textId="5F92A32A" w:rsidR="000015CC" w:rsidRPr="00D32DB7" w:rsidRDefault="000015CC" w:rsidP="00A51D51">
            <w:pPr>
              <w:pStyle w:val="BodyTextGrey"/>
            </w:pPr>
            <w:r w:rsidRPr="00D32DB7">
              <w:t>Private Lending</w:t>
            </w:r>
          </w:p>
        </w:tc>
        <w:tc>
          <w:tcPr>
            <w:tcW w:w="4956" w:type="dxa"/>
          </w:tcPr>
          <w:p w14:paraId="5A099C2F" w14:textId="498FA6E5" w:rsidR="000015CC" w:rsidRPr="00D32DB7" w:rsidRDefault="000015CC" w:rsidP="00A51D51">
            <w:pPr>
              <w:pStyle w:val="BodyTextGrey"/>
            </w:pPr>
            <w:r w:rsidRPr="00D32DB7">
              <w:t>4%</w:t>
            </w:r>
          </w:p>
        </w:tc>
      </w:tr>
      <w:tr w:rsidR="000015CC" w14:paraId="4C685CAC" w14:textId="77777777" w:rsidTr="00293FA8">
        <w:tc>
          <w:tcPr>
            <w:tcW w:w="4955" w:type="dxa"/>
          </w:tcPr>
          <w:p w14:paraId="61C490FB" w14:textId="660BAAA2" w:rsidR="000015CC" w:rsidRPr="00D32DB7" w:rsidRDefault="000015CC" w:rsidP="00A51D51">
            <w:pPr>
              <w:pStyle w:val="BodyTextGrey"/>
            </w:pPr>
            <w:r w:rsidRPr="00D32DB7">
              <w:t>Infr</w:t>
            </w:r>
            <w:r w:rsidR="008D3F20" w:rsidRPr="00D32DB7">
              <w:t xml:space="preserve">astructure Debt </w:t>
            </w:r>
          </w:p>
        </w:tc>
        <w:tc>
          <w:tcPr>
            <w:tcW w:w="4956" w:type="dxa"/>
          </w:tcPr>
          <w:p w14:paraId="4CFACBC7" w14:textId="662F7CFF" w:rsidR="000015CC" w:rsidRPr="00D32DB7" w:rsidRDefault="008D3F20" w:rsidP="00A51D51">
            <w:pPr>
              <w:pStyle w:val="BodyTextGrey"/>
            </w:pPr>
            <w:r w:rsidRPr="00D32DB7">
              <w:t>16%</w:t>
            </w:r>
          </w:p>
        </w:tc>
      </w:tr>
    </w:tbl>
    <w:p w14:paraId="7766B1A4" w14:textId="15CC7058" w:rsidR="00834EF0" w:rsidRPr="00F80CE0" w:rsidRDefault="00834EF0" w:rsidP="000874A0">
      <w:pPr>
        <w:pStyle w:val="BodyTextGrey"/>
        <w:rPr>
          <w:highlight w:val="yellow"/>
        </w:rPr>
      </w:pPr>
    </w:p>
    <w:p w14:paraId="63C8B494" w14:textId="1C44979E" w:rsidR="00A51D51" w:rsidRPr="004A7AFA" w:rsidRDefault="00A51D51" w:rsidP="00A51D51">
      <w:pPr>
        <w:pStyle w:val="Heading2Num"/>
      </w:pPr>
      <w:r w:rsidRPr="004A7AFA">
        <w:t>Does the funding strategy reflect the investment strategy?</w:t>
      </w:r>
    </w:p>
    <w:p w14:paraId="25C4787F" w14:textId="77777777" w:rsidR="00A51D51" w:rsidRDefault="00A51D51" w:rsidP="00A51D51">
      <w:pPr>
        <w:pStyle w:val="BodyTextGrey"/>
      </w:pPr>
      <w:r>
        <w:t>The funding policy is consistent with the investment strategy. F</w:t>
      </w:r>
      <w:r w:rsidRPr="00434C58">
        <w:t xml:space="preserve">uture investment return </w:t>
      </w:r>
      <w:r>
        <w:t xml:space="preserve">expectations are set with reference to the investment strategy, including </w:t>
      </w:r>
      <w:r w:rsidRPr="00434C58">
        <w:t>a margin for prudence</w:t>
      </w:r>
      <w:r>
        <w:t xml:space="preserve"> which is</w:t>
      </w:r>
      <w:r w:rsidRPr="00434C58">
        <w:t xml:space="preserve"> </w:t>
      </w:r>
      <w:r w:rsidRPr="000442D4">
        <w:t>consistent with the regulatory requirement that funds take a ‘prudent longer-term view’ of funding liabilities (see</w:t>
      </w:r>
      <w:r>
        <w:t xml:space="preserve"> </w:t>
      </w:r>
      <w:hyperlink w:anchor="AppendixA" w:history="1">
        <w:r w:rsidRPr="000442D4">
          <w:rPr>
            <w:rStyle w:val="Hyperlink"/>
          </w:rPr>
          <w:t>Appendix A</w:t>
        </w:r>
      </w:hyperlink>
      <w:r>
        <w:t>)</w:t>
      </w:r>
    </w:p>
    <w:p w14:paraId="14E955C8" w14:textId="7F3DFC52" w:rsidR="00D83FA5" w:rsidRPr="00DD6396" w:rsidRDefault="00D83FA5" w:rsidP="00D83FA5">
      <w:pPr>
        <w:pStyle w:val="Heading2Num"/>
      </w:pPr>
      <w:r>
        <w:t>Reviewing contributions between valuations</w:t>
      </w:r>
    </w:p>
    <w:p w14:paraId="2725AE06" w14:textId="4A5E8C02" w:rsidR="00E30E6E" w:rsidRDefault="00D83FA5" w:rsidP="00D83FA5">
      <w:pPr>
        <w:pStyle w:val="BodyTextGrey"/>
      </w:pPr>
      <w:r>
        <w:t xml:space="preserve">The </w:t>
      </w:r>
      <w:r w:rsidR="00A01EEC">
        <w:t>F</w:t>
      </w:r>
      <w:r>
        <w:t>und may amend contribution rates between formal valuations</w:t>
      </w:r>
      <w:r w:rsidR="00FD4775">
        <w:t>,</w:t>
      </w:r>
      <w:r>
        <w:t xml:space="preserve"> in line with its policy on contribution reviews. </w:t>
      </w:r>
      <w:bookmarkStart w:id="34" w:name="_Hlk195601351"/>
      <w:r>
        <w:t xml:space="preserve">The </w:t>
      </w:r>
      <w:r w:rsidR="003046AF">
        <w:t>F</w:t>
      </w:r>
      <w:r>
        <w:t xml:space="preserve">und’s policy is </w:t>
      </w:r>
      <w:r w:rsidRPr="00461C3E">
        <w:t>available</w:t>
      </w:r>
      <w:r w:rsidR="003200D6" w:rsidRPr="00461C3E">
        <w:t xml:space="preserve"> </w:t>
      </w:r>
      <w:r w:rsidR="00FD4775" w:rsidRPr="00461C3E">
        <w:t xml:space="preserve">in </w:t>
      </w:r>
      <w:r w:rsidRPr="00461C3E">
        <w:t xml:space="preserve">Appendix </w:t>
      </w:r>
      <w:r w:rsidR="00D4591A" w:rsidRPr="00461C3E">
        <w:t>F</w:t>
      </w:r>
      <w:r w:rsidRPr="00461C3E">
        <w:t>.</w:t>
      </w:r>
      <w:r w:rsidRPr="00D4591A">
        <w:t xml:space="preserve"> </w:t>
      </w:r>
      <w:bookmarkEnd w:id="34"/>
      <w:r w:rsidR="003E4E23" w:rsidRPr="00D4591A">
        <w:t>The</w:t>
      </w:r>
      <w:r w:rsidR="003E4E23">
        <w:t xml:space="preserve"> purpose of an</w:t>
      </w:r>
      <w:r>
        <w:t xml:space="preserve">y review </w:t>
      </w:r>
      <w:r w:rsidR="003E4E23">
        <w:t xml:space="preserve">is to </w:t>
      </w:r>
      <w:r>
        <w:t>establish the most appropriate contributions</w:t>
      </w:r>
      <w:r w:rsidR="00FD4775">
        <w:t xml:space="preserve">. </w:t>
      </w:r>
    </w:p>
    <w:p w14:paraId="2D796588" w14:textId="6E2385C7" w:rsidR="00D83FA5" w:rsidRDefault="00FD4775" w:rsidP="00D83FA5">
      <w:pPr>
        <w:pStyle w:val="BodyTextGrey"/>
        <w:rPr>
          <w:highlight w:val="cyan"/>
        </w:rPr>
      </w:pPr>
      <w:r>
        <w:t xml:space="preserve">A review may </w:t>
      </w:r>
      <w:r w:rsidR="00D83FA5">
        <w:t xml:space="preserve">lead to an increase or decrease in contributions. </w:t>
      </w:r>
    </w:p>
    <w:p w14:paraId="0BB665F0" w14:textId="77DD5260" w:rsidR="000C2DFA" w:rsidRPr="00D32DB7" w:rsidRDefault="000C2DFA" w:rsidP="000C2DFA">
      <w:pPr>
        <w:pStyle w:val="Heading2Num"/>
      </w:pPr>
      <w:r w:rsidRPr="00D32DB7">
        <w:t xml:space="preserve">What is </w:t>
      </w:r>
      <w:r w:rsidR="009B4421" w:rsidRPr="00D32DB7">
        <w:t xml:space="preserve">employer </w:t>
      </w:r>
      <w:r w:rsidRPr="00D32DB7">
        <w:t xml:space="preserve">pooling?  </w:t>
      </w:r>
    </w:p>
    <w:p w14:paraId="45CC8805" w14:textId="0FC7FABB" w:rsidR="003A4760" w:rsidRPr="00D32DB7" w:rsidRDefault="003A4760" w:rsidP="00C84F69">
      <w:pPr>
        <w:pStyle w:val="BodyTextGrey"/>
      </w:pPr>
      <w:r w:rsidRPr="00D32DB7">
        <w:t xml:space="preserve">In some </w:t>
      </w:r>
      <w:r w:rsidR="00C84F69" w:rsidRPr="00D32DB7">
        <w:t>circumstances it may be desirable to group (or 'pool') employers within the Fund together for funding purposes (i.e. to calculate employer contribution rates). Reasons might include reduction of volatility of contribution rates for small employers, facilitating situations where employers have a common source of funding or accommodating employers who wish to share the risks related to their participation in the Fund.</w:t>
      </w:r>
    </w:p>
    <w:p w14:paraId="40605CC5" w14:textId="18A516E2" w:rsidR="00C84F69" w:rsidRPr="00D32DB7" w:rsidRDefault="00DD691D" w:rsidP="00DD691D">
      <w:pPr>
        <w:pStyle w:val="BodyTextGrey"/>
      </w:pPr>
      <w:r w:rsidRPr="00D32DB7">
        <w:t xml:space="preserve">The Administering Authority recognises that pooling can give rise to cross subsidies from one employer to another over time. Employers may be pooled entirely, such that </w:t>
      </w:r>
      <w:proofErr w:type="gramStart"/>
      <w:r w:rsidRPr="00D32DB7">
        <w:t>all of</w:t>
      </w:r>
      <w:proofErr w:type="gramEnd"/>
      <w:r w:rsidRPr="00D32DB7">
        <w:t xml:space="preserve"> the risks of participation are shared, or only partially pooled such that only specified risks are shared. The Administering Authority’s policy is to consider the position carefully at the initial pooling and at each valuation and to notify each employer that is pooled, which other employers it is pooled with, and details of the pooling method used. If the employer objects to this pooling, it will be offered its own contribution rate on an </w:t>
      </w:r>
      <w:proofErr w:type="spellStart"/>
      <w:r w:rsidRPr="00D32DB7">
        <w:t>unpooled</w:t>
      </w:r>
      <w:proofErr w:type="spellEnd"/>
      <w:r w:rsidRPr="00D32DB7">
        <w:t xml:space="preserve"> basis. For employers with more than 50 contributing members, the Administering Authority may look for evidence of homogeneity between employers before considering pooling. Employers with more than 50 members will be allowed to pool at the sole discretion of the Administering Authority.</w:t>
      </w:r>
    </w:p>
    <w:p w14:paraId="26A006DF" w14:textId="08989B88" w:rsidR="007468C8" w:rsidRPr="00D32DB7" w:rsidRDefault="00156A99" w:rsidP="00156A99">
      <w:pPr>
        <w:pStyle w:val="BodyTextGrey"/>
      </w:pPr>
      <w:r w:rsidRPr="00D32DB7">
        <w:lastRenderedPageBreak/>
        <w:t>Where an employer is admitted to a pool for funding purposes, this will only occur with the consent of that employer. Different policies apply to employers subject to passthrough pooling arrangements (see below).</w:t>
      </w:r>
    </w:p>
    <w:p w14:paraId="495FE496" w14:textId="54EE6284" w:rsidR="000C2DFA" w:rsidRPr="00D32DB7" w:rsidRDefault="000C2DFA" w:rsidP="000C2DFA">
      <w:pPr>
        <w:pStyle w:val="Heading2Num"/>
      </w:pPr>
      <w:r w:rsidRPr="00D32DB7">
        <w:t>What are the current contribution pools?</w:t>
      </w:r>
    </w:p>
    <w:p w14:paraId="3AE800D3" w14:textId="77777777" w:rsidR="000C2DFA" w:rsidRPr="00D32DB7" w:rsidRDefault="000C2DFA" w:rsidP="000C2DFA">
      <w:pPr>
        <w:pStyle w:val="BodyTextGrey"/>
        <w:numPr>
          <w:ilvl w:val="0"/>
          <w:numId w:val="14"/>
        </w:numPr>
      </w:pPr>
      <w:r w:rsidRPr="00D32DB7">
        <w:rPr>
          <w:b/>
          <w:bCs/>
        </w:rPr>
        <w:t>Schools</w:t>
      </w:r>
      <w:r w:rsidRPr="00D32DB7">
        <w:t xml:space="preserve"> – generally pool with their funding council, although there may be exceptions for specialist or independent schools.</w:t>
      </w:r>
    </w:p>
    <w:p w14:paraId="71747664" w14:textId="77777777" w:rsidR="000C2DFA" w:rsidRPr="00D32DB7" w:rsidRDefault="000C2DFA" w:rsidP="000C2DFA">
      <w:pPr>
        <w:pStyle w:val="BodyTextGrey"/>
        <w:numPr>
          <w:ilvl w:val="0"/>
          <w:numId w:val="14"/>
        </w:numPr>
      </w:pPr>
      <w:r w:rsidRPr="00D32DB7">
        <w:rPr>
          <w:b/>
          <w:bCs/>
        </w:rPr>
        <w:t>Smaller TABs</w:t>
      </w:r>
      <w:r w:rsidRPr="00D32DB7">
        <w:t xml:space="preserve"> – may be pooled with the letting employer.  </w:t>
      </w:r>
    </w:p>
    <w:p w14:paraId="1D747D34" w14:textId="3E3B6B1B" w:rsidR="0047296D" w:rsidRPr="00D32DB7" w:rsidRDefault="0047296D" w:rsidP="0047296D">
      <w:pPr>
        <w:pStyle w:val="Heading3Num"/>
      </w:pPr>
      <w:r w:rsidRPr="00D32DB7">
        <w:t>Passthrough pooling arrangements</w:t>
      </w:r>
    </w:p>
    <w:p w14:paraId="3A8EBF47" w14:textId="77777777" w:rsidR="000903EE" w:rsidRPr="00D32DB7" w:rsidRDefault="00B66D7C" w:rsidP="00B66D7C">
      <w:pPr>
        <w:pStyle w:val="BodyTextGrey"/>
      </w:pPr>
      <w:r w:rsidRPr="00D32DB7">
        <w:t xml:space="preserve">In the case of Admission Bodies admitted under Paragraph 1(d) of Part 3 of Schedule 2 of the LGPS Regulations, passthrough pooling arrangements will be permitted at the discretion of the relevant Scheme Employer under that regulation and the Administering Authority. In this case an Admission Body will be admitted to a Scheme Employer's funding pool (a "Pool") with the liabilities of the Admission Body being allocated to the Pool. No notional asset sub-fund will be determined for the Admission Body. Contributions for employers within a Pool will be calculated using appropriate methods and assumptions, considering the circumstances of the employers participating in a Pool in aggregate, in accordance with the principles set out within this Statement. </w:t>
      </w:r>
    </w:p>
    <w:p w14:paraId="182347E8" w14:textId="77777777" w:rsidR="009D2D69" w:rsidRPr="00D32DB7" w:rsidRDefault="009D2D69" w:rsidP="00B66D7C">
      <w:pPr>
        <w:pStyle w:val="BodyTextGrey"/>
      </w:pPr>
      <w:r w:rsidRPr="00D32DB7">
        <w:t xml:space="preserve">In particular: </w:t>
      </w:r>
    </w:p>
    <w:p w14:paraId="14CBFE33" w14:textId="77777777" w:rsidR="009D2D69" w:rsidRPr="00D32DB7" w:rsidRDefault="009D2D69" w:rsidP="009D2D69">
      <w:pPr>
        <w:pStyle w:val="BodyTextGrey"/>
        <w:ind w:left="720"/>
      </w:pPr>
      <w:r w:rsidRPr="00D32DB7">
        <w:t xml:space="preserve">In accordance with the 2013 Regulations, the Primary Contribution Rate will be expressed as a percentage of the Pensionable Pay (as defined under Regulation 20 of the 2013 Regulations) of those employees of the employers of the Pool who are active members of the Fund. There will be a common Primary Contribution Rate applied to all employers in the Pool. </w:t>
      </w:r>
    </w:p>
    <w:p w14:paraId="49E529C9" w14:textId="77777777" w:rsidR="00095CDA" w:rsidRPr="00D32DB7" w:rsidRDefault="00095CDA" w:rsidP="009D2D69">
      <w:pPr>
        <w:pStyle w:val="BodyTextGrey"/>
        <w:ind w:left="720"/>
      </w:pPr>
      <w:proofErr w:type="gramStart"/>
      <w:r w:rsidRPr="00D32DB7">
        <w:t>For the purpose of</w:t>
      </w:r>
      <w:proofErr w:type="gramEnd"/>
      <w:r w:rsidRPr="00D32DB7">
        <w:t xml:space="preserve"> certifying a Secondary Contribution Rate to ongoing employers in the Pool: </w:t>
      </w:r>
    </w:p>
    <w:p w14:paraId="4CFDF3CD" w14:textId="4ED05473" w:rsidR="0047296D" w:rsidRPr="00D32DB7" w:rsidRDefault="00F1517C" w:rsidP="004F5C25">
      <w:pPr>
        <w:pStyle w:val="BodyTextGrey"/>
        <w:numPr>
          <w:ilvl w:val="0"/>
          <w:numId w:val="82"/>
        </w:numPr>
      </w:pPr>
      <w:r w:rsidRPr="00D32DB7">
        <w:t xml:space="preserve">any deficit of the Fund relating to the participation of the employers in the Pool in aggregate will be assigned to all the employers of the Pool collectively. The Secondary Contribution Rate of the Pool will be shared between the employers in the Pool in proportion to Pensionable Pay. This will either be </w:t>
      </w:r>
      <w:proofErr w:type="gramStart"/>
      <w:r w:rsidRPr="00D32DB7">
        <w:t>effected</w:t>
      </w:r>
      <w:proofErr w:type="gramEnd"/>
      <w:r w:rsidRPr="00D32DB7">
        <w:t xml:space="preserve"> through certification of the Secondary Contribution Rate as a percentage of Pensionable Pay, or certification of a stream of additional capital payments that will be allocated between the Pool participants in proportion to Pensionable Pay at the relevant valuation date.</w:t>
      </w:r>
    </w:p>
    <w:p w14:paraId="3A1BCB41" w14:textId="0A7DA112" w:rsidR="00F1517C" w:rsidRPr="00D32DB7" w:rsidRDefault="00EE5DD8" w:rsidP="00EE5DD8">
      <w:pPr>
        <w:pStyle w:val="BodyTextGrey"/>
        <w:numPr>
          <w:ilvl w:val="0"/>
          <w:numId w:val="82"/>
        </w:numPr>
      </w:pPr>
      <w:r w:rsidRPr="00D32DB7">
        <w:t xml:space="preserve">any surplus of the Fund relating to the participation of the employers in the Pool in aggregate will be assigned to all the employers of the Pool collectively. The assignment will be as a percentage reduction to the Primary Contribution Rate of the Pool. </w:t>
      </w:r>
      <w:r w:rsidRPr="00D32DB7">
        <w:cr/>
      </w:r>
    </w:p>
    <w:p w14:paraId="587B4972" w14:textId="64C9C324" w:rsidR="006A4D83" w:rsidRPr="004F5C25" w:rsidRDefault="006A4D83" w:rsidP="004F5C25">
      <w:pPr>
        <w:pStyle w:val="BodyTextGrey"/>
      </w:pPr>
      <w:r w:rsidRPr="00D32DB7">
        <w:t xml:space="preserve">In the case of Admission Bodies admitted under Paragraph 1(d) of Part 3 of Schedule 2 of the LGPS Regulations, where 10 or fewer employees who are eligible for LGPS membership are transferring to the Admission Body on the commencement date of that agreement or where the contract is a school catering or school cleaning contract, the Administering Authority may in its absolute discretion impose a passthrough pooling arrangement with the relevant Scheme Employer, unless there is a an express request from either the relevant Scheme Employer or Admission Body that this should not apply. Further details of a pooled passthrough arrangement as they apply to an employer entering the Pool will be set out in the employer's Admission </w:t>
      </w:r>
      <w:r w:rsidRPr="00461C3E">
        <w:t>Agreement.</w:t>
      </w:r>
    </w:p>
    <w:p w14:paraId="0B714B71" w14:textId="77777777" w:rsidR="003F47B2" w:rsidRPr="00DD6396" w:rsidRDefault="003F47B2" w:rsidP="00DD5E25">
      <w:pPr>
        <w:pStyle w:val="Heading2Num"/>
      </w:pPr>
      <w:r>
        <w:lastRenderedPageBreak/>
        <w:t xml:space="preserve">Administering authority discretion </w:t>
      </w:r>
    </w:p>
    <w:p w14:paraId="1467EA85" w14:textId="77777777" w:rsidR="003F47B2" w:rsidRDefault="003F47B2" w:rsidP="003F47B2">
      <w:pPr>
        <w:pStyle w:val="BodyTextGrey"/>
      </w:pPr>
      <w:r>
        <w:t xml:space="preserve">Individual employers may be affected by circumstances not easily managed within the FSS rules and policies. If this happens, the administering authority may adopt alternative funding approaches on a case-by-case basis. </w:t>
      </w:r>
    </w:p>
    <w:p w14:paraId="28515235" w14:textId="77777777" w:rsidR="003F47B2" w:rsidRPr="004F5C25" w:rsidRDefault="003F47B2" w:rsidP="003F47B2">
      <w:pPr>
        <w:pStyle w:val="BodyTextGrey"/>
      </w:pPr>
      <w:r w:rsidRPr="004F5C25">
        <w:t xml:space="preserve">Additionally, the administering authority may allow greater flexibility to the employer’s contributions if added security is provided. Flexibility could include things like a reduced contribution rate, extended time horizon, or permission to join a pool. Added security may include a suitable bond, a legally binding guarantee from an appropriate third party, or security over an asset. </w:t>
      </w:r>
    </w:p>
    <w:p w14:paraId="1EB77B63" w14:textId="4D39D5A2" w:rsidR="00871006" w:rsidRDefault="00871006" w:rsidP="00871006">
      <w:pPr>
        <w:pStyle w:val="BodyTextGrey"/>
      </w:pPr>
      <w:r w:rsidRPr="005B42ED">
        <w:t xml:space="preserve">The </w:t>
      </w:r>
      <w:r w:rsidR="00FA226E" w:rsidRPr="005B42ED">
        <w:t>F</w:t>
      </w:r>
      <w:r w:rsidRPr="005B42ED">
        <w:t xml:space="preserve">und permits the prepayment of employer contributions in specific circumstances.  </w:t>
      </w:r>
      <w:r w:rsidR="0005012C" w:rsidRPr="005B42ED">
        <w:t xml:space="preserve">Request would </w:t>
      </w:r>
      <w:proofErr w:type="gramStart"/>
      <w:r w:rsidR="0005012C" w:rsidRPr="005B42ED">
        <w:t>be need</w:t>
      </w:r>
      <w:proofErr w:type="gramEnd"/>
      <w:r w:rsidR="0005012C" w:rsidRPr="005B42ED">
        <w:t xml:space="preserve"> to be made to the Fund and approve by PPIC</w:t>
      </w:r>
      <w:r w:rsidR="005B42ED" w:rsidRPr="005B42ED">
        <w:t xml:space="preserve"> in line with the Policy</w:t>
      </w:r>
      <w:r w:rsidR="0005012C" w:rsidRPr="005B42ED">
        <w:t>.</w:t>
      </w:r>
    </w:p>
    <w:p w14:paraId="21C71620" w14:textId="30DA58C6" w:rsidR="00B33290" w:rsidRPr="00A23C26" w:rsidRDefault="00B33290" w:rsidP="00B33290">
      <w:pPr>
        <w:pStyle w:val="BodyTextGrey"/>
        <w:rPr>
          <w:b/>
          <w:bCs/>
        </w:rPr>
      </w:pPr>
      <w:r w:rsidRPr="00D93EF2">
        <w:rPr>
          <w:bCs/>
        </w:rPr>
        <w:t>2.10</w:t>
      </w:r>
      <w:r w:rsidRPr="00A23C26">
        <w:rPr>
          <w:b/>
          <w:bCs/>
        </w:rPr>
        <w:tab/>
      </w:r>
      <w:proofErr w:type="gramStart"/>
      <w:r w:rsidRPr="00A23C26">
        <w:rPr>
          <w:b/>
          <w:bCs/>
        </w:rPr>
        <w:t>Non</w:t>
      </w:r>
      <w:r w:rsidR="005B5525">
        <w:rPr>
          <w:b/>
          <w:bCs/>
        </w:rPr>
        <w:t>-</w:t>
      </w:r>
      <w:r w:rsidRPr="00A23C26">
        <w:rPr>
          <w:b/>
          <w:bCs/>
        </w:rPr>
        <w:t>cash</w:t>
      </w:r>
      <w:proofErr w:type="gramEnd"/>
      <w:r w:rsidRPr="00A23C26">
        <w:rPr>
          <w:b/>
          <w:bCs/>
        </w:rPr>
        <w:t xml:space="preserve"> funding</w:t>
      </w:r>
    </w:p>
    <w:p w14:paraId="2568D057" w14:textId="6D284080" w:rsidR="003A7EDB" w:rsidRPr="00A23C26" w:rsidRDefault="003A7EDB" w:rsidP="00B33290">
      <w:pPr>
        <w:pStyle w:val="BodyTextGrey"/>
      </w:pPr>
      <w:r w:rsidRPr="005B42ED">
        <w:t>The Fund will not accept any form of non-cash assets in lieu of contributions.</w:t>
      </w:r>
    </w:p>
    <w:p w14:paraId="5E36AD4F" w14:textId="438C772D" w:rsidR="003602B7" w:rsidRPr="00DD6396" w:rsidRDefault="00FF5ECD" w:rsidP="00A23C26">
      <w:pPr>
        <w:pStyle w:val="Heading2Num"/>
        <w:numPr>
          <w:ilvl w:val="0"/>
          <w:numId w:val="0"/>
        </w:numPr>
        <w:ind w:left="709" w:hanging="567"/>
      </w:pPr>
      <w:bookmarkStart w:id="35" w:name="_Toc110971574"/>
      <w:proofErr w:type="gramStart"/>
      <w:r>
        <w:t xml:space="preserve">2.11  </w:t>
      </w:r>
      <w:r w:rsidR="003D3DBD">
        <w:t>Managing</w:t>
      </w:r>
      <w:proofErr w:type="gramEnd"/>
      <w:r w:rsidR="003D3DBD">
        <w:t xml:space="preserve"> s</w:t>
      </w:r>
      <w:r w:rsidR="003602B7">
        <w:t xml:space="preserve">urpluses and deficits </w:t>
      </w:r>
    </w:p>
    <w:p w14:paraId="6CCEAC9E" w14:textId="64B51DFF" w:rsidR="00806985" w:rsidRDefault="00BD4D34" w:rsidP="000704E7">
      <w:pPr>
        <w:pStyle w:val="BodyTextGrey"/>
      </w:pPr>
      <w:r>
        <w:t xml:space="preserve">The funding strategy is designed to ensure that all employers are </w:t>
      </w:r>
      <w:r w:rsidR="003D3DBD">
        <w:t xml:space="preserve">at least </w:t>
      </w:r>
      <w:r>
        <w:t xml:space="preserve">fully funded </w:t>
      </w:r>
      <w:r w:rsidR="003D3DBD">
        <w:t xml:space="preserve">on a prudent basis </w:t>
      </w:r>
      <w:r>
        <w:t xml:space="preserve">at the end of their own specific time horizon.  </w:t>
      </w:r>
      <w:r w:rsidR="006E3616">
        <w:t xml:space="preserve">The </w:t>
      </w:r>
      <w:r>
        <w:t>uncertain and volatile nature of pension scheme funding means</w:t>
      </w:r>
      <w:r w:rsidR="00010901">
        <w:t xml:space="preserve"> that it is likely</w:t>
      </w:r>
      <w:r>
        <w:t xml:space="preserve"> there will be times when </w:t>
      </w:r>
      <w:r w:rsidR="006E3616">
        <w:t xml:space="preserve">employers </w:t>
      </w:r>
      <w:r>
        <w:t xml:space="preserve">are in surplus and times when employers are in deficit.  The </w:t>
      </w:r>
      <w:r w:rsidR="00010901">
        <w:t xml:space="preserve">funding strategy recognises this </w:t>
      </w:r>
      <w:r w:rsidR="00133906">
        <w:t xml:space="preserve">by </w:t>
      </w:r>
      <w:r w:rsidR="00B962FA">
        <w:t xml:space="preserve">1) </w:t>
      </w:r>
      <w:r w:rsidR="00133906">
        <w:t xml:space="preserve">including </w:t>
      </w:r>
      <w:r w:rsidR="00806985">
        <w:t>sufficient prudence to manage the effect of this over the time horizon</w:t>
      </w:r>
      <w:r w:rsidR="00B962FA">
        <w:t xml:space="preserve">, and 2) making </w:t>
      </w:r>
      <w:r w:rsidR="00A10C22">
        <w:t xml:space="preserve">changes </w:t>
      </w:r>
      <w:r w:rsidR="00B962FA">
        <w:t>to</w:t>
      </w:r>
      <w:r w:rsidR="00A10C22">
        <w:t xml:space="preserve"> employer contribution </w:t>
      </w:r>
      <w:r w:rsidR="00B962FA">
        <w:t xml:space="preserve">rates to ensure the funding </w:t>
      </w:r>
      <w:r w:rsidR="00734A64">
        <w:t>strategy objectives are met.</w:t>
      </w:r>
      <w:r w:rsidR="00A10C22">
        <w:t xml:space="preserve"> </w:t>
      </w:r>
    </w:p>
    <w:p w14:paraId="2D2179B6" w14:textId="3480C64C" w:rsidR="00623309" w:rsidRDefault="00623309" w:rsidP="000704E7">
      <w:pPr>
        <w:pStyle w:val="BodyTextGrey"/>
      </w:pPr>
      <w:r>
        <w:t xml:space="preserve">Fluctuations in </w:t>
      </w:r>
      <w:r w:rsidR="000B16BC">
        <w:t xml:space="preserve">funding positions are inevitable over the time horizon, due to </w:t>
      </w:r>
      <w:r w:rsidR="000B16BC" w:rsidRPr="007E2AA1">
        <w:t>market movements</w:t>
      </w:r>
      <w:r w:rsidR="00046C97">
        <w:t xml:space="preserve"> and changing asset values, which could lead to the emergent of </w:t>
      </w:r>
      <w:r w:rsidR="000B16BC" w:rsidRPr="007E2AA1">
        <w:t>deficit</w:t>
      </w:r>
      <w:r w:rsidR="00046C97">
        <w:t>s</w:t>
      </w:r>
      <w:r w:rsidR="000B16BC" w:rsidRPr="007E2AA1">
        <w:t xml:space="preserve"> </w:t>
      </w:r>
      <w:r w:rsidR="00046C97">
        <w:t xml:space="preserve">and </w:t>
      </w:r>
      <w:r w:rsidR="000B16BC" w:rsidRPr="007E2AA1">
        <w:t xml:space="preserve">surplus </w:t>
      </w:r>
      <w:r w:rsidR="00046C97">
        <w:t>from time to time</w:t>
      </w:r>
      <w:r w:rsidR="00460263">
        <w:t>, and lead to changes in employer contribution rates</w:t>
      </w:r>
      <w:r w:rsidR="00A76181">
        <w:t>.</w:t>
      </w:r>
      <w:r w:rsidR="00460263">
        <w:t xml:space="preserve"> </w:t>
      </w:r>
    </w:p>
    <w:p w14:paraId="6AD06FF5" w14:textId="256BB36F" w:rsidR="00BE2A12" w:rsidRDefault="00BE2A12" w:rsidP="000704E7">
      <w:pPr>
        <w:pStyle w:val="BodyTextGrey"/>
      </w:pPr>
      <w:r>
        <w:t>Table 2 sets out the Fund’s approach to setting contribution rates for each employer group</w:t>
      </w:r>
      <w:r w:rsidR="00FC5FCF">
        <w:t xml:space="preserve">. </w:t>
      </w:r>
    </w:p>
    <w:p w14:paraId="66565616" w14:textId="77777777" w:rsidR="003F47B2" w:rsidRPr="00A23C26" w:rsidRDefault="003F47B2" w:rsidP="004F5C25">
      <w:pPr>
        <w:pStyle w:val="BodyTextGrey"/>
      </w:pPr>
      <w:r>
        <w:br w:type="page"/>
      </w:r>
    </w:p>
    <w:p w14:paraId="0F7EB9E9" w14:textId="1EAF27AD" w:rsidR="003F47B2" w:rsidRPr="00E933BA" w:rsidRDefault="003F47B2" w:rsidP="00C853B2">
      <w:pPr>
        <w:pStyle w:val="Heading1Num"/>
        <w:numPr>
          <w:ilvl w:val="0"/>
          <w:numId w:val="1"/>
        </w:numPr>
      </w:pPr>
      <w:bookmarkStart w:id="36" w:name="_Toc112068177"/>
      <w:r>
        <w:lastRenderedPageBreak/>
        <w:t>What additional contributions may be payable?</w:t>
      </w:r>
      <w:bookmarkEnd w:id="35"/>
      <w:bookmarkEnd w:id="36"/>
      <w:r>
        <w:t xml:space="preserve"> </w:t>
      </w:r>
    </w:p>
    <w:p w14:paraId="46881EE8" w14:textId="5FF1A6E7" w:rsidR="0002686B" w:rsidRPr="00176EB0" w:rsidRDefault="004F1CAF" w:rsidP="00A23C26">
      <w:pPr>
        <w:pStyle w:val="Heading2Num"/>
        <w:numPr>
          <w:ilvl w:val="1"/>
          <w:numId w:val="1"/>
        </w:numPr>
      </w:pPr>
      <w:bookmarkStart w:id="37" w:name="_Toc86162850"/>
      <w:r>
        <w:t>P</w:t>
      </w:r>
      <w:r w:rsidR="00564BCF" w:rsidRPr="00176EB0">
        <w:t xml:space="preserve">ension costs </w:t>
      </w:r>
      <w:r w:rsidR="00344F62" w:rsidRPr="00176EB0">
        <w:t xml:space="preserve">– </w:t>
      </w:r>
      <w:r w:rsidR="00176EB0">
        <w:t>award</w:t>
      </w:r>
      <w:r w:rsidR="00C65137">
        <w:t xml:space="preserve">ing </w:t>
      </w:r>
      <w:r w:rsidR="0047335A" w:rsidRPr="00176EB0">
        <w:t>additional pension</w:t>
      </w:r>
      <w:r w:rsidR="0047335A">
        <w:t xml:space="preserve"> and </w:t>
      </w:r>
      <w:r w:rsidR="00344F62" w:rsidRPr="00176EB0">
        <w:t xml:space="preserve">early retirement on </w:t>
      </w:r>
      <w:proofErr w:type="spellStart"/>
      <w:proofErr w:type="gramStart"/>
      <w:r w:rsidR="00344F62" w:rsidRPr="00176EB0">
        <w:t>non ill-health</w:t>
      </w:r>
      <w:proofErr w:type="spellEnd"/>
      <w:proofErr w:type="gramEnd"/>
      <w:r w:rsidR="00344F62" w:rsidRPr="00176EB0">
        <w:t xml:space="preserve"> grounds</w:t>
      </w:r>
      <w:bookmarkEnd w:id="37"/>
    </w:p>
    <w:p w14:paraId="36EBF11E" w14:textId="7280CBAC" w:rsidR="00176EB0" w:rsidRPr="00137BB9" w:rsidRDefault="00176EB0" w:rsidP="0056536B">
      <w:pPr>
        <w:pStyle w:val="BodyTextGrey"/>
      </w:pPr>
      <w:r w:rsidRPr="00137BB9">
        <w:t>If an employer awards additional pension as an annual benefit amount,</w:t>
      </w:r>
      <w:r w:rsidR="0047335A" w:rsidRPr="00137BB9">
        <w:t xml:space="preserve"> the</w:t>
      </w:r>
      <w:r w:rsidR="00BD6C48" w:rsidRPr="00137BB9">
        <w:t xml:space="preserve">y </w:t>
      </w:r>
      <w:r w:rsidRPr="00137BB9">
        <w:t xml:space="preserve">pay </w:t>
      </w:r>
      <w:r w:rsidR="0047335A" w:rsidRPr="00137BB9">
        <w:t xml:space="preserve">an </w:t>
      </w:r>
      <w:r w:rsidRPr="00137BB9">
        <w:t>additional contribution</w:t>
      </w:r>
      <w:r w:rsidR="0047335A" w:rsidRPr="00137BB9">
        <w:t xml:space="preserve"> </w:t>
      </w:r>
      <w:r w:rsidR="00A968C1" w:rsidRPr="00137BB9">
        <w:t xml:space="preserve">to the fund </w:t>
      </w:r>
      <w:r w:rsidR="0047335A" w:rsidRPr="00137BB9">
        <w:t xml:space="preserve">as a single lump sum.  The amount is </w:t>
      </w:r>
      <w:r w:rsidR="00642BAB" w:rsidRPr="00137BB9">
        <w:t xml:space="preserve">set by guidance issued by </w:t>
      </w:r>
      <w:r w:rsidR="004A0A42">
        <w:t xml:space="preserve">the </w:t>
      </w:r>
      <w:r w:rsidR="00642BAB" w:rsidRPr="00137BB9">
        <w:t>G</w:t>
      </w:r>
      <w:r w:rsidR="004A0A42">
        <w:t xml:space="preserve">overnment </w:t>
      </w:r>
      <w:r w:rsidR="00642BAB" w:rsidRPr="00137BB9">
        <w:t>A</w:t>
      </w:r>
      <w:r w:rsidR="004A0A42">
        <w:t xml:space="preserve">ctuary’s </w:t>
      </w:r>
      <w:r w:rsidR="00642BAB" w:rsidRPr="00137BB9">
        <w:t>D</w:t>
      </w:r>
      <w:r w:rsidR="004A0A42">
        <w:t>epartment</w:t>
      </w:r>
      <w:r w:rsidR="00642BAB" w:rsidRPr="00137BB9">
        <w:t xml:space="preserve"> and updated from time to time. </w:t>
      </w:r>
    </w:p>
    <w:p w14:paraId="2312080D" w14:textId="6D4FFAC6" w:rsidR="00564BCF" w:rsidRPr="00137BB9" w:rsidRDefault="00F24FC1" w:rsidP="00564BCF">
      <w:pPr>
        <w:pStyle w:val="BodyTextGrey"/>
      </w:pPr>
      <w:r w:rsidRPr="00137BB9">
        <w:t xml:space="preserve">If an employee retires before </w:t>
      </w:r>
      <w:r w:rsidR="001B1D72" w:rsidRPr="00137BB9">
        <w:t xml:space="preserve">their normal retirement age </w:t>
      </w:r>
      <w:r w:rsidR="00C72B09" w:rsidRPr="00137BB9">
        <w:t>on unreduced benefits</w:t>
      </w:r>
      <w:r w:rsidR="00D83FA5" w:rsidRPr="00137BB9">
        <w:t xml:space="preserve">, </w:t>
      </w:r>
      <w:r w:rsidRPr="00137BB9">
        <w:t>e</w:t>
      </w:r>
      <w:r w:rsidR="00564BCF" w:rsidRPr="00137BB9">
        <w:t xml:space="preserve">mployers </w:t>
      </w:r>
      <w:r w:rsidR="00C72B09" w:rsidRPr="00137BB9">
        <w:t xml:space="preserve">may be asked to </w:t>
      </w:r>
      <w:r w:rsidR="002C24EF" w:rsidRPr="00137BB9">
        <w:t xml:space="preserve">pay </w:t>
      </w:r>
      <w:r w:rsidR="00564BCF" w:rsidRPr="00137BB9">
        <w:t>additional contributions</w:t>
      </w:r>
      <w:r w:rsidR="008B4AA8" w:rsidRPr="00137BB9">
        <w:t xml:space="preserve"> </w:t>
      </w:r>
      <w:r w:rsidR="00872BE4" w:rsidRPr="00137BB9">
        <w:t xml:space="preserve">called strain payments. </w:t>
      </w:r>
    </w:p>
    <w:p w14:paraId="42488A65" w14:textId="4ABC2B5E" w:rsidR="00564BCF" w:rsidRPr="00594EA7" w:rsidRDefault="00642BAB" w:rsidP="005B42ED">
      <w:pPr>
        <w:pStyle w:val="BodyTextGrey"/>
      </w:pPr>
      <w:r w:rsidRPr="00137BB9">
        <w:t>Employers typically make strain payments as a single lump sum</w:t>
      </w:r>
      <w:r w:rsidR="00FF0FD5">
        <w:t>.</w:t>
      </w:r>
    </w:p>
    <w:p w14:paraId="73F20F3E" w14:textId="104F313E" w:rsidR="00564BCF" w:rsidRPr="00176EB0" w:rsidRDefault="004F1CAF" w:rsidP="0004172F">
      <w:pPr>
        <w:pStyle w:val="Heading2Num"/>
        <w:numPr>
          <w:ilvl w:val="1"/>
          <w:numId w:val="1"/>
        </w:numPr>
      </w:pPr>
      <w:bookmarkStart w:id="38" w:name="_Toc16078808"/>
      <w:bookmarkStart w:id="39" w:name="_Toc86162851"/>
      <w:bookmarkStart w:id="40" w:name="illhealthearlyretirementcosts"/>
      <w:r>
        <w:t>P</w:t>
      </w:r>
      <w:r w:rsidR="00E21ED1" w:rsidRPr="00176EB0">
        <w:t xml:space="preserve">ension costs – early </w:t>
      </w:r>
      <w:r w:rsidR="00564BCF" w:rsidRPr="00176EB0">
        <w:t xml:space="preserve">retirement </w:t>
      </w:r>
      <w:bookmarkEnd w:id="38"/>
      <w:r w:rsidR="00564BCF" w:rsidRPr="00176EB0">
        <w:t>on ill-health grounds</w:t>
      </w:r>
      <w:bookmarkEnd w:id="39"/>
    </w:p>
    <w:bookmarkEnd w:id="40"/>
    <w:p w14:paraId="283FB376" w14:textId="2DB36604" w:rsidR="00564BCF" w:rsidRPr="0056536B" w:rsidRDefault="00305FA1" w:rsidP="0056536B">
      <w:pPr>
        <w:pStyle w:val="BodyTextGrey"/>
      </w:pPr>
      <w:r w:rsidRPr="0056536B">
        <w:t>I</w:t>
      </w:r>
      <w:r w:rsidR="00564BCF" w:rsidRPr="0056536B">
        <w:t xml:space="preserve">f a member retires early </w:t>
      </w:r>
      <w:r w:rsidR="00E21ED1" w:rsidRPr="0056536B">
        <w:t xml:space="preserve">because of </w:t>
      </w:r>
      <w:r w:rsidR="00564BCF" w:rsidRPr="0056536B">
        <w:t xml:space="preserve">ill-health, </w:t>
      </w:r>
      <w:r w:rsidR="005E3C2F" w:rsidRPr="0056536B">
        <w:t>the</w:t>
      </w:r>
      <w:r w:rsidRPr="0056536B">
        <w:t>ir employer must pay a funding strain</w:t>
      </w:r>
      <w:r w:rsidR="004F1CAF">
        <w:t xml:space="preserve">, which </w:t>
      </w:r>
      <w:r w:rsidR="001E4BE6" w:rsidRPr="0056536B">
        <w:t>may</w:t>
      </w:r>
      <w:r w:rsidRPr="0056536B">
        <w:t xml:space="preserve"> be a large </w:t>
      </w:r>
      <w:r w:rsidR="001E4BE6" w:rsidRPr="0056536B">
        <w:t>sum</w:t>
      </w:r>
      <w:r w:rsidRPr="0056536B">
        <w:t>.</w:t>
      </w:r>
      <w:r w:rsidR="00F4456F" w:rsidRPr="0056536B">
        <w:t xml:space="preserve"> </w:t>
      </w:r>
    </w:p>
    <w:p w14:paraId="3607CC8B" w14:textId="18C27188" w:rsidR="00AD1A48" w:rsidRPr="004F5C25" w:rsidRDefault="00AD1A48" w:rsidP="0056536B">
      <w:pPr>
        <w:pStyle w:val="BodyTextGrey"/>
      </w:pPr>
      <w:r w:rsidRPr="004F5C25">
        <w:t>The administering authority does not offer any arrangement to mitigate this</w:t>
      </w:r>
      <w:r w:rsidR="004E4BCA" w:rsidRPr="004F5C25">
        <w:t>. I</w:t>
      </w:r>
      <w:r w:rsidRPr="004F5C25">
        <w:t xml:space="preserve">ndividual employers should make their own arrangements if </w:t>
      </w:r>
      <w:r w:rsidR="004E4BCA" w:rsidRPr="004F5C25">
        <w:t xml:space="preserve">they are </w:t>
      </w:r>
      <w:r w:rsidRPr="004F5C25">
        <w:t>concerned about the risk of unmanageable ill-health strain costs.</w:t>
      </w:r>
    </w:p>
    <w:p w14:paraId="5B23EA94" w14:textId="4FA515AE" w:rsidR="00137BB9" w:rsidRDefault="00137BB9" w:rsidP="00137BB9">
      <w:pPr>
        <w:pStyle w:val="BodyTextGrey"/>
      </w:pPr>
    </w:p>
    <w:p w14:paraId="4A8E962C" w14:textId="77777777" w:rsidR="00137BB9" w:rsidRPr="0056536B" w:rsidRDefault="00137BB9" w:rsidP="00564BCF">
      <w:pPr>
        <w:pStyle w:val="BodyTextGrey"/>
      </w:pPr>
    </w:p>
    <w:p w14:paraId="0AB94D7B" w14:textId="308EF7DF" w:rsidR="00564BCF" w:rsidRDefault="00564BCF" w:rsidP="00564BCF">
      <w:pPr>
        <w:spacing w:after="20" w:line="240" w:lineRule="auto"/>
        <w:jc w:val="left"/>
      </w:pPr>
      <w:r>
        <w:br w:type="page"/>
      </w:r>
    </w:p>
    <w:p w14:paraId="423BE35A" w14:textId="0B3D9612" w:rsidR="00564BCF" w:rsidRDefault="002943D3" w:rsidP="00DF6FE7">
      <w:pPr>
        <w:pStyle w:val="Heading1Num"/>
        <w:pageBreakBefore/>
        <w:numPr>
          <w:ilvl w:val="0"/>
          <w:numId w:val="1"/>
        </w:numPr>
      </w:pPr>
      <w:bookmarkStart w:id="41" w:name="_Toc112068178"/>
      <w:r>
        <w:lastRenderedPageBreak/>
        <w:t xml:space="preserve">How </w:t>
      </w:r>
      <w:r w:rsidR="00557D0A">
        <w:t xml:space="preserve">does the </w:t>
      </w:r>
      <w:r w:rsidR="00EE7F51">
        <w:t>F</w:t>
      </w:r>
      <w:r w:rsidR="00557D0A">
        <w:t xml:space="preserve">und calculate </w:t>
      </w:r>
      <w:r>
        <w:t>assets and liabilities?</w:t>
      </w:r>
      <w:bookmarkEnd w:id="41"/>
    </w:p>
    <w:p w14:paraId="0E8DD495" w14:textId="77565119" w:rsidR="00564BCF" w:rsidRDefault="00564BCF" w:rsidP="001377EC">
      <w:pPr>
        <w:pStyle w:val="Heading2Num"/>
        <w:numPr>
          <w:ilvl w:val="1"/>
          <w:numId w:val="1"/>
        </w:numPr>
      </w:pPr>
      <w:bookmarkStart w:id="42" w:name="D5How_is_each_employers_asset_share_cal"/>
      <w:bookmarkStart w:id="43" w:name="_Toc86162855"/>
      <w:r>
        <w:t xml:space="preserve">How </w:t>
      </w:r>
      <w:r w:rsidR="00557D0A">
        <w:t xml:space="preserve">are </w:t>
      </w:r>
      <w:r w:rsidR="008E6618">
        <w:t xml:space="preserve">employer asset shares calculated? </w:t>
      </w:r>
      <w:bookmarkEnd w:id="42"/>
      <w:bookmarkEnd w:id="43"/>
    </w:p>
    <w:p w14:paraId="7175BA69" w14:textId="1390DDB2" w:rsidR="00564BCF" w:rsidRPr="001F0A03" w:rsidRDefault="00564BCF" w:rsidP="00564BCF">
      <w:pPr>
        <w:pStyle w:val="BodyTextGrey"/>
      </w:pPr>
      <w:r w:rsidRPr="001F0A03">
        <w:t xml:space="preserve">The </w:t>
      </w:r>
      <w:r w:rsidR="00EE7F51">
        <w:t>F</w:t>
      </w:r>
      <w:r w:rsidRPr="001F0A03">
        <w:t xml:space="preserve">und adopts a cashflow approach </w:t>
      </w:r>
      <w:r w:rsidR="001D2D31">
        <w:t>to</w:t>
      </w:r>
      <w:r w:rsidRPr="001F0A03">
        <w:t xml:space="preserve"> track individual employer assets.</w:t>
      </w:r>
      <w:r w:rsidR="00EE7F51">
        <w:t xml:space="preserve"> </w:t>
      </w:r>
      <w:r w:rsidR="00E06427">
        <w:t xml:space="preserve">Each </w:t>
      </w:r>
      <w:r w:rsidR="00EE7F51">
        <w:t>F</w:t>
      </w:r>
      <w:r w:rsidR="00532DE5">
        <w:t xml:space="preserve">und </w:t>
      </w:r>
      <w:r w:rsidR="00E06427">
        <w:t xml:space="preserve">employer has a notional share of the </w:t>
      </w:r>
      <w:r w:rsidR="00EA4D22">
        <w:t>F</w:t>
      </w:r>
      <w:r w:rsidR="00E06427">
        <w:t>und’s assets</w:t>
      </w:r>
      <w:r w:rsidR="00532DE5">
        <w:t xml:space="preserve">, which is assessed yearly by the </w:t>
      </w:r>
      <w:r w:rsidR="005F77DA">
        <w:t>a</w:t>
      </w:r>
      <w:r w:rsidRPr="001F0A03">
        <w:t>ctuary</w:t>
      </w:r>
      <w:r w:rsidR="00532DE5">
        <w:t xml:space="preserve">. </w:t>
      </w:r>
      <w:r w:rsidR="0005527F">
        <w:t>The actuary starts with a</w:t>
      </w:r>
      <w:r w:rsidRPr="001F0A03">
        <w:t>ssets from the previous year</w:t>
      </w:r>
      <w:r w:rsidR="00532DE5">
        <w:t>-</w:t>
      </w:r>
      <w:r w:rsidRPr="001F0A03">
        <w:t>end</w:t>
      </w:r>
      <w:r w:rsidR="00532DE5">
        <w:t xml:space="preserve">, adding </w:t>
      </w:r>
      <w:r w:rsidRPr="001F0A03">
        <w:t xml:space="preserve">cashflows paid in/out and investment returns </w:t>
      </w:r>
      <w:r w:rsidR="00AE6A7C">
        <w:t xml:space="preserve">to give </w:t>
      </w:r>
      <w:r w:rsidR="005F77DA">
        <w:t>a</w:t>
      </w:r>
      <w:r w:rsidR="00532DE5">
        <w:t xml:space="preserve"> new</w:t>
      </w:r>
      <w:r w:rsidR="005F77DA">
        <w:t xml:space="preserve"> year-end </w:t>
      </w:r>
      <w:r w:rsidRPr="001F0A03">
        <w:t>asset value</w:t>
      </w:r>
      <w:r w:rsidR="00FC0989">
        <w:t>. Th</w:t>
      </w:r>
      <w:r w:rsidR="0005527F">
        <w:t xml:space="preserve">e </w:t>
      </w:r>
      <w:r w:rsidR="00EA4D22">
        <w:t>F</w:t>
      </w:r>
      <w:r w:rsidR="00F8764D">
        <w:t xml:space="preserve">und </w:t>
      </w:r>
      <w:r w:rsidR="0005527F">
        <w:t xml:space="preserve">actuary makes a simplifying assumption, that </w:t>
      </w:r>
      <w:r w:rsidR="006E345B">
        <w:t>all</w:t>
      </w:r>
      <w:r w:rsidR="00FC0989">
        <w:t xml:space="preserve"> </w:t>
      </w:r>
      <w:r w:rsidRPr="001F0A03">
        <w:t xml:space="preserve">cashflow and investment returns </w:t>
      </w:r>
      <w:r w:rsidR="006E345B">
        <w:t xml:space="preserve">have been </w:t>
      </w:r>
      <w:r w:rsidR="0005527F">
        <w:t xml:space="preserve">paid </w:t>
      </w:r>
      <w:r w:rsidR="00FC0989">
        <w:t>uniform</w:t>
      </w:r>
      <w:r w:rsidR="0005527F">
        <w:t>ly</w:t>
      </w:r>
      <w:r w:rsidR="00FC0989">
        <w:t xml:space="preserve"> over the </w:t>
      </w:r>
      <w:r w:rsidRPr="001F0A03">
        <w:t xml:space="preserve">year. </w:t>
      </w:r>
      <w:r w:rsidR="004B70A7">
        <w:t>This assumption means that</w:t>
      </w:r>
      <w:r w:rsidR="006E345B">
        <w:t xml:space="preserve"> the sum of </w:t>
      </w:r>
      <w:r w:rsidRPr="001F0A03">
        <w:t xml:space="preserve">all employers’ asset values </w:t>
      </w:r>
      <w:r w:rsidR="00B10B65">
        <w:t xml:space="preserve">is slightly different </w:t>
      </w:r>
      <w:r w:rsidRPr="001F0A03">
        <w:t xml:space="preserve">from the whole </w:t>
      </w:r>
      <w:r w:rsidR="00EA4D22">
        <w:t>F</w:t>
      </w:r>
      <w:r w:rsidRPr="001F0A03">
        <w:t>und asset total over time</w:t>
      </w:r>
      <w:r w:rsidR="00FC0989">
        <w:t>.</w:t>
      </w:r>
      <w:r w:rsidR="0005527F">
        <w:t xml:space="preserve"> Th</w:t>
      </w:r>
      <w:r w:rsidR="00B10B65">
        <w:t xml:space="preserve">is </w:t>
      </w:r>
      <w:r w:rsidR="0005527F">
        <w:t xml:space="preserve">minimal </w:t>
      </w:r>
      <w:r w:rsidRPr="001F0A03">
        <w:t>difference is split between employers in proportion to their asset shares at each</w:t>
      </w:r>
      <w:r w:rsidR="00FC0989">
        <w:t xml:space="preserve"> </w:t>
      </w:r>
      <w:r w:rsidRPr="001F0A03">
        <w:t xml:space="preserve">valuation. </w:t>
      </w:r>
    </w:p>
    <w:p w14:paraId="0ABB2ACE" w14:textId="326CA5B4" w:rsidR="00564BCF" w:rsidRDefault="00564BCF" w:rsidP="001377EC">
      <w:pPr>
        <w:pStyle w:val="Heading2Num"/>
        <w:numPr>
          <w:ilvl w:val="1"/>
          <w:numId w:val="1"/>
        </w:numPr>
      </w:pPr>
      <w:bookmarkStart w:id="44" w:name="_Toc86162856"/>
      <w:r>
        <w:t xml:space="preserve">How are </w:t>
      </w:r>
      <w:r w:rsidR="00C65137">
        <w:t xml:space="preserve">employer </w:t>
      </w:r>
      <w:r>
        <w:t>liabilities calculated?</w:t>
      </w:r>
      <w:bookmarkEnd w:id="44"/>
    </w:p>
    <w:p w14:paraId="4965CB78" w14:textId="0E4DCD30" w:rsidR="00564BCF" w:rsidRDefault="00564BCF" w:rsidP="00564BCF">
      <w:pPr>
        <w:pStyle w:val="BodyTextGrey"/>
      </w:pPr>
      <w:r>
        <w:t xml:space="preserve">The </w:t>
      </w:r>
      <w:r w:rsidR="00EA4D22">
        <w:t>F</w:t>
      </w:r>
      <w:r>
        <w:t xml:space="preserve">und </w:t>
      </w:r>
      <w:r w:rsidR="004B70A7">
        <w:t>holds</w:t>
      </w:r>
      <w:r>
        <w:t xml:space="preserve"> membership data for all active, deferred and pensioner members</w:t>
      </w:r>
      <w:r w:rsidR="00D60351">
        <w:t xml:space="preserve">. </w:t>
      </w:r>
      <w:r>
        <w:t>Based on th</w:t>
      </w:r>
      <w:r w:rsidR="004B70A7">
        <w:t>is data and th</w:t>
      </w:r>
      <w:r>
        <w:t xml:space="preserve">e assumptions in </w:t>
      </w:r>
      <w:hyperlink w:anchor="AppendixD" w:history="1">
        <w:r w:rsidRPr="000442D4">
          <w:rPr>
            <w:rStyle w:val="Hyperlink"/>
          </w:rPr>
          <w:t xml:space="preserve">Appendix </w:t>
        </w:r>
        <w:r w:rsidR="00161B19">
          <w:rPr>
            <w:rStyle w:val="Hyperlink"/>
          </w:rPr>
          <w:t>E</w:t>
        </w:r>
      </w:hyperlink>
      <w:r w:rsidR="00D60351">
        <w:t xml:space="preserve">, </w:t>
      </w:r>
      <w:r w:rsidR="00B84C32">
        <w:t xml:space="preserve">the </w:t>
      </w:r>
      <w:r w:rsidR="00EA4D22">
        <w:t>F</w:t>
      </w:r>
      <w:r w:rsidR="00F8764D">
        <w:t xml:space="preserve">und </w:t>
      </w:r>
      <w:r w:rsidR="00B84C32">
        <w:t xml:space="preserve">actuary projects the </w:t>
      </w:r>
      <w:r w:rsidR="00D60351">
        <w:t xml:space="preserve">expected benefits for </w:t>
      </w:r>
      <w:r>
        <w:t>all members into the future. Th</w:t>
      </w:r>
      <w:r w:rsidR="009F6251">
        <w:t xml:space="preserve">is is </w:t>
      </w:r>
      <w:r>
        <w:t>expressed as a single value</w:t>
      </w:r>
      <w:r w:rsidR="00D60351">
        <w:t xml:space="preserve"> – the </w:t>
      </w:r>
      <w:r>
        <w:t>liabilities</w:t>
      </w:r>
      <w:r w:rsidR="00D60351">
        <w:t xml:space="preserve"> – </w:t>
      </w:r>
      <w:r w:rsidR="004B70A7">
        <w:t xml:space="preserve">by </w:t>
      </w:r>
      <w:r>
        <w:t>allowing for expected future investment returns</w:t>
      </w:r>
      <w:r w:rsidR="00676811">
        <w:t>.</w:t>
      </w:r>
      <w:r w:rsidR="00F4456F">
        <w:t xml:space="preserve"> </w:t>
      </w:r>
    </w:p>
    <w:p w14:paraId="613BA1FE" w14:textId="7DDC830C" w:rsidR="00564BCF" w:rsidRDefault="00676811" w:rsidP="00564BCF">
      <w:pPr>
        <w:pStyle w:val="BodyTextGrey"/>
      </w:pPr>
      <w:r>
        <w:t xml:space="preserve">Each employer’s </w:t>
      </w:r>
      <w:r w:rsidR="00564BCF">
        <w:t xml:space="preserve">liabilities reflect the experience of their own employees and ex-employees. </w:t>
      </w:r>
    </w:p>
    <w:p w14:paraId="47C28097" w14:textId="2E10AA93" w:rsidR="00564BCF" w:rsidRDefault="00564BCF" w:rsidP="001377EC">
      <w:pPr>
        <w:pStyle w:val="Heading2Num"/>
        <w:numPr>
          <w:ilvl w:val="1"/>
          <w:numId w:val="1"/>
        </w:numPr>
      </w:pPr>
      <w:bookmarkStart w:id="45" w:name="_Toc86162857"/>
      <w:r>
        <w:t>What is a funding level?</w:t>
      </w:r>
      <w:bookmarkEnd w:id="45"/>
    </w:p>
    <w:p w14:paraId="654531D5" w14:textId="4C865CDD" w:rsidR="00564BCF" w:rsidRPr="00564BCF" w:rsidRDefault="00564BCF" w:rsidP="00564BCF">
      <w:pPr>
        <w:pStyle w:val="BodyTextGrey"/>
      </w:pPr>
      <w:r>
        <w:t xml:space="preserve">An employer’s funding level is </w:t>
      </w:r>
      <w:r w:rsidR="00676811">
        <w:t>th</w:t>
      </w:r>
      <w:r>
        <w:t>e ratio of</w:t>
      </w:r>
      <w:r w:rsidR="00676811">
        <w:t xml:space="preserve"> the market value of asset share</w:t>
      </w:r>
      <w:r w:rsidR="00D50267">
        <w:t xml:space="preserve"> against liabilities. If this is </w:t>
      </w:r>
      <w:r w:rsidRPr="00564BCF">
        <w:t>less than 100%</w:t>
      </w:r>
      <w:r w:rsidR="00D50267">
        <w:t xml:space="preserve">, the </w:t>
      </w:r>
      <w:r w:rsidRPr="00564BCF">
        <w:t>employer has a shortfall</w:t>
      </w:r>
      <w:r w:rsidR="0018465C">
        <w:t xml:space="preserve">: </w:t>
      </w:r>
      <w:r w:rsidR="00D50267">
        <w:t xml:space="preserve">the </w:t>
      </w:r>
      <w:r w:rsidRPr="00564BCF">
        <w:t>employer’s deficit</w:t>
      </w:r>
      <w:r w:rsidR="00D50267">
        <w:t xml:space="preserve">. If it is </w:t>
      </w:r>
      <w:r w:rsidRPr="00564BCF">
        <w:t>more than 100%</w:t>
      </w:r>
      <w:r w:rsidR="00D50267">
        <w:t xml:space="preserve">, the employer is in </w:t>
      </w:r>
      <w:r w:rsidRPr="00564BCF">
        <w:t xml:space="preserve">surplus. The amount of deficit or </w:t>
      </w:r>
      <w:r w:rsidR="00793B33">
        <w:t>surplus</w:t>
      </w:r>
      <w:r w:rsidRPr="00564BCF">
        <w:t xml:space="preserve"> is the difference between the asset value and the liabilities value.</w:t>
      </w:r>
    </w:p>
    <w:p w14:paraId="2A95930B" w14:textId="71D6F03C" w:rsidR="00564BCF" w:rsidRPr="00B351DF" w:rsidRDefault="00D50267" w:rsidP="00564BCF">
      <w:pPr>
        <w:pStyle w:val="BodyTextGrey"/>
        <w:rPr>
          <w:b/>
          <w:bCs/>
        </w:rPr>
      </w:pPr>
      <w:r>
        <w:t>F</w:t>
      </w:r>
      <w:r w:rsidR="00564BCF" w:rsidRPr="00564BCF">
        <w:t>unding level</w:t>
      </w:r>
      <w:r>
        <w:t>s</w:t>
      </w:r>
      <w:r w:rsidR="00564BCF" w:rsidRPr="00564BCF">
        <w:t xml:space="preserve"> and deficit/surplus </w:t>
      </w:r>
      <w:r>
        <w:t xml:space="preserve">values measure </w:t>
      </w:r>
      <w:r w:rsidR="00B351DF">
        <w:t xml:space="preserve">a </w:t>
      </w:r>
      <w:r>
        <w:t>particular point in time, based on a particular set of future assumptions. W</w:t>
      </w:r>
      <w:r w:rsidR="00B351DF">
        <w:t xml:space="preserve">hile this measure is of interest, for most employers the </w:t>
      </w:r>
      <w:r w:rsidR="00E03F0B">
        <w:t xml:space="preserve">main </w:t>
      </w:r>
      <w:r w:rsidR="00B351DF">
        <w:t>issue is</w:t>
      </w:r>
      <w:r w:rsidR="00793B33">
        <w:t xml:space="preserve"> the level of contributions payable. The funding level does not directly drive contribution rates. See section 2 for further information on rates.</w:t>
      </w:r>
      <w:r w:rsidR="00F4456F" w:rsidRPr="00B351DF">
        <w:rPr>
          <w:b/>
          <w:bCs/>
        </w:rPr>
        <w:t xml:space="preserve"> </w:t>
      </w:r>
    </w:p>
    <w:p w14:paraId="631EEDB8" w14:textId="77777777" w:rsidR="00564BCF" w:rsidRDefault="00564BCF" w:rsidP="00564BCF">
      <w:pPr>
        <w:spacing w:after="20" w:line="240" w:lineRule="auto"/>
        <w:jc w:val="left"/>
      </w:pPr>
    </w:p>
    <w:p w14:paraId="01374350" w14:textId="77777777" w:rsidR="00951E8F" w:rsidRDefault="00951E8F" w:rsidP="00951E8F">
      <w:pPr>
        <w:pStyle w:val="BodyTextGrey"/>
      </w:pPr>
    </w:p>
    <w:p w14:paraId="5CDD163E" w14:textId="77777777" w:rsidR="00564BCF" w:rsidRDefault="00564BCF" w:rsidP="00951E8F">
      <w:pPr>
        <w:pStyle w:val="BodyTextGrey"/>
      </w:pPr>
    </w:p>
    <w:p w14:paraId="4982CDC0" w14:textId="77777777" w:rsidR="00564BCF" w:rsidRDefault="00564BCF" w:rsidP="00951E8F">
      <w:pPr>
        <w:pStyle w:val="BodyTextGrey"/>
      </w:pPr>
    </w:p>
    <w:p w14:paraId="609DC4E8" w14:textId="77777777" w:rsidR="00564BCF" w:rsidRDefault="00564BCF" w:rsidP="00951E8F">
      <w:pPr>
        <w:pStyle w:val="BodyTextGrey"/>
      </w:pPr>
    </w:p>
    <w:p w14:paraId="5394C39C" w14:textId="59C56EB2" w:rsidR="002943D3" w:rsidRPr="00C43446" w:rsidRDefault="00C65137" w:rsidP="001377EC">
      <w:pPr>
        <w:pStyle w:val="Heading1Num"/>
        <w:pageBreakBefore/>
        <w:numPr>
          <w:ilvl w:val="0"/>
          <w:numId w:val="1"/>
        </w:numPr>
      </w:pPr>
      <w:bookmarkStart w:id="46" w:name="_Toc107385409"/>
      <w:bookmarkStart w:id="47" w:name="_Toc86162839"/>
      <w:bookmarkStart w:id="48" w:name="_Toc112068179"/>
      <w:bookmarkStart w:id="49" w:name="_Toc86162858"/>
      <w:bookmarkEnd w:id="46"/>
      <w:r>
        <w:lastRenderedPageBreak/>
        <w:t xml:space="preserve">What happens when an employer joins </w:t>
      </w:r>
      <w:r w:rsidR="002943D3" w:rsidRPr="00C43446">
        <w:t xml:space="preserve">the </w:t>
      </w:r>
      <w:r w:rsidR="00AC54DA">
        <w:t>F</w:t>
      </w:r>
      <w:r w:rsidR="002943D3" w:rsidRPr="00C43446">
        <w:t>und</w:t>
      </w:r>
      <w:bookmarkEnd w:id="47"/>
      <w:r>
        <w:t>?</w:t>
      </w:r>
      <w:bookmarkEnd w:id="48"/>
      <w:r>
        <w:t xml:space="preserve"> </w:t>
      </w:r>
      <w:r w:rsidR="002943D3" w:rsidRPr="00C43446">
        <w:t xml:space="preserve"> </w:t>
      </w:r>
    </w:p>
    <w:p w14:paraId="5E543808" w14:textId="06348EB7" w:rsidR="000812BE" w:rsidRDefault="000812BE" w:rsidP="001377EC">
      <w:pPr>
        <w:pStyle w:val="Heading2Num"/>
        <w:numPr>
          <w:ilvl w:val="1"/>
          <w:numId w:val="1"/>
        </w:numPr>
      </w:pPr>
      <w:bookmarkStart w:id="50" w:name="_Toc86162840"/>
      <w:r>
        <w:t xml:space="preserve">When can an employer join the </w:t>
      </w:r>
      <w:r w:rsidR="00AC54DA">
        <w:t>F</w:t>
      </w:r>
      <w:r>
        <w:t>und</w:t>
      </w:r>
    </w:p>
    <w:p w14:paraId="0F9529D9" w14:textId="0B0B0E98" w:rsidR="003F47B2" w:rsidRPr="000442D4" w:rsidRDefault="003F47B2" w:rsidP="00DD5E25">
      <w:pPr>
        <w:pStyle w:val="BodyTextGrey"/>
      </w:pPr>
      <w:bookmarkStart w:id="51" w:name="_Toc111013075"/>
      <w:r w:rsidRPr="000442D4">
        <w:t xml:space="preserve">Employers can join the </w:t>
      </w:r>
      <w:r w:rsidR="00AC54DA">
        <w:t>F</w:t>
      </w:r>
      <w:r w:rsidRPr="000442D4">
        <w:t xml:space="preserve">und if they are a new scheduled body or a new admission body.  New designated employers may also join the </w:t>
      </w:r>
      <w:r w:rsidR="00AC54DA">
        <w:t>F</w:t>
      </w:r>
      <w:r w:rsidRPr="000442D4">
        <w:t>und if they pass a designation to do so.</w:t>
      </w:r>
      <w:bookmarkEnd w:id="51"/>
      <w:r w:rsidRPr="000442D4">
        <w:t xml:space="preserve"> </w:t>
      </w:r>
    </w:p>
    <w:p w14:paraId="7194B3B1" w14:textId="029249AF" w:rsidR="003F47B2" w:rsidRPr="004B478B" w:rsidRDefault="000812BE" w:rsidP="00DD5E25">
      <w:pPr>
        <w:pStyle w:val="BodyTextGrey"/>
      </w:pPr>
      <w:bookmarkStart w:id="52" w:name="_Toc111013076"/>
      <w:r w:rsidRPr="000442D4">
        <w:t xml:space="preserve">On joining, the </w:t>
      </w:r>
      <w:r w:rsidR="00432994">
        <w:t>F</w:t>
      </w:r>
      <w:r w:rsidRPr="000442D4">
        <w:t>und will determine the assets and liabilities for that employer within the Fund.  The calculation will depend on the type of employer</w:t>
      </w:r>
      <w:r w:rsidR="00223329">
        <w:t xml:space="preserve">, the existence of any guarantee, </w:t>
      </w:r>
      <w:r w:rsidR="003F47B2" w:rsidRPr="004B478B">
        <w:t>and the circumstances of joining.</w:t>
      </w:r>
      <w:bookmarkEnd w:id="52"/>
    </w:p>
    <w:p w14:paraId="3B3EB4B6" w14:textId="15FA48B0" w:rsidR="000812BE" w:rsidRPr="000812BE" w:rsidRDefault="000812BE" w:rsidP="00DD5E25">
      <w:pPr>
        <w:pStyle w:val="BodyTextGrey"/>
      </w:pPr>
      <w:r>
        <w:t xml:space="preserve">A contribution rate will also be set.  This will be set in accordance with the calculation set out in Section 2, unless alternative arrangements apply (for example, the employer has agreed a pass-through arrangement).  More details on this are in Section </w:t>
      </w:r>
      <w:r w:rsidR="003F47B2">
        <w:t>5</w:t>
      </w:r>
      <w:r>
        <w:t>.</w:t>
      </w:r>
      <w:r w:rsidR="003F47B2">
        <w:t>4</w:t>
      </w:r>
      <w:r>
        <w:t xml:space="preserve"> below.</w:t>
      </w:r>
    </w:p>
    <w:p w14:paraId="44269C97" w14:textId="3571804F" w:rsidR="003D71A5" w:rsidRPr="00C43446" w:rsidRDefault="003D71A5" w:rsidP="001377EC">
      <w:pPr>
        <w:pStyle w:val="Heading2Num"/>
        <w:numPr>
          <w:ilvl w:val="1"/>
          <w:numId w:val="1"/>
        </w:numPr>
      </w:pPr>
      <w:r w:rsidRPr="00C43446">
        <w:t xml:space="preserve">New academies  </w:t>
      </w:r>
    </w:p>
    <w:p w14:paraId="63F9F3B0" w14:textId="412176B2" w:rsidR="003D71A5" w:rsidRDefault="003D71A5" w:rsidP="003D71A5">
      <w:pPr>
        <w:pStyle w:val="BodyTextGrey"/>
      </w:pPr>
      <w:r>
        <w:t xml:space="preserve">New academies (including free schools) join the </w:t>
      </w:r>
      <w:r w:rsidR="005F7629">
        <w:t>F</w:t>
      </w:r>
      <w:r>
        <w:t xml:space="preserve">und as </w:t>
      </w:r>
      <w:r w:rsidR="00023A08">
        <w:t xml:space="preserve">separate </w:t>
      </w:r>
      <w:r>
        <w:t>scheduled employers.</w:t>
      </w:r>
      <w:r w:rsidR="00FC3C73" w:rsidRPr="00FC3C73">
        <w:t xml:space="preserve"> </w:t>
      </w:r>
      <w:r w:rsidR="00FC3C73">
        <w:t>Only active members of former council schools transfer to new academies. Free schools do not transfer active members from a converting school</w:t>
      </w:r>
      <w:r w:rsidR="0056536B">
        <w:t xml:space="preserve"> </w:t>
      </w:r>
      <w:r w:rsidR="00FC3C73">
        <w:t>but must allow new active members to transfer</w:t>
      </w:r>
      <w:r w:rsidR="000812BE">
        <w:t xml:space="preserve"> </w:t>
      </w:r>
      <w:r w:rsidR="00793B33">
        <w:t>in</w:t>
      </w:r>
      <w:r w:rsidR="00FC3C73">
        <w:t xml:space="preserve"> any eligible service.</w:t>
      </w:r>
    </w:p>
    <w:p w14:paraId="233B48D7" w14:textId="3BD36661" w:rsidR="001D3CD6" w:rsidRDefault="001D3CD6" w:rsidP="001D3CD6">
      <w:pPr>
        <w:pStyle w:val="BodyTextGrey"/>
      </w:pPr>
      <w:r>
        <w:t>L</w:t>
      </w:r>
      <w:r w:rsidRPr="00564BCF">
        <w:t xml:space="preserve">iabilities </w:t>
      </w:r>
      <w:r>
        <w:t>for transferring ac</w:t>
      </w:r>
      <w:r w:rsidRPr="00564BCF">
        <w:t xml:space="preserve">tive </w:t>
      </w:r>
      <w:r>
        <w:t>m</w:t>
      </w:r>
      <w:r w:rsidRPr="00564BCF">
        <w:t>embers</w:t>
      </w:r>
      <w:r>
        <w:t xml:space="preserve"> </w:t>
      </w:r>
      <w:r w:rsidRPr="00564BCF">
        <w:t>will be calculate</w:t>
      </w:r>
      <w:r>
        <w:t xml:space="preserve">d </w:t>
      </w:r>
      <w:r w:rsidR="003F47B2">
        <w:t xml:space="preserve">(on the ongoing basis) </w:t>
      </w:r>
      <w:r>
        <w:t xml:space="preserve">by the </w:t>
      </w:r>
      <w:r w:rsidR="00036F40">
        <w:t>F</w:t>
      </w:r>
      <w:r>
        <w:t>und actuary on the day before conversion to an academy. L</w:t>
      </w:r>
      <w:r w:rsidRPr="00564BCF">
        <w:t>iabilities relating to</w:t>
      </w:r>
      <w:r>
        <w:t xml:space="preserve"> the converting school’s former employees (</w:t>
      </w:r>
      <w:proofErr w:type="spellStart"/>
      <w:r>
        <w:t>ie</w:t>
      </w:r>
      <w:proofErr w:type="spellEnd"/>
      <w:r>
        <w:t xml:space="preserve"> members with def</w:t>
      </w:r>
      <w:r w:rsidRPr="00564BCF">
        <w:t>erred or pensioner status</w:t>
      </w:r>
      <w:r>
        <w:t xml:space="preserve">) remain with the ceding council. </w:t>
      </w:r>
    </w:p>
    <w:p w14:paraId="2B08BDD0" w14:textId="553CAF2A" w:rsidR="00023A08" w:rsidRDefault="00023A08" w:rsidP="00023A08">
      <w:pPr>
        <w:pStyle w:val="BodyTextGrey"/>
      </w:pPr>
      <w:r>
        <w:t>N</w:t>
      </w:r>
      <w:r w:rsidRPr="00564BCF">
        <w:t>ew academ</w:t>
      </w:r>
      <w:r>
        <w:t xml:space="preserve">ies </w:t>
      </w:r>
      <w:r w:rsidR="001D3CD6">
        <w:t>will be</w:t>
      </w:r>
      <w:r>
        <w:t xml:space="preserve"> </w:t>
      </w:r>
      <w:r w:rsidRPr="00564BCF">
        <w:t>allocated an asset share based on the</w:t>
      </w:r>
      <w:r>
        <w:t xml:space="preserve"> estimated </w:t>
      </w:r>
      <w:r w:rsidRPr="00564BCF">
        <w:t>funding level</w:t>
      </w:r>
      <w:r>
        <w:t xml:space="preserve"> of the </w:t>
      </w:r>
      <w:r w:rsidR="00793B33">
        <w:t xml:space="preserve">ceding </w:t>
      </w:r>
      <w:r>
        <w:t xml:space="preserve">council’s </w:t>
      </w:r>
      <w:r w:rsidRPr="00564BCF">
        <w:t>active members</w:t>
      </w:r>
      <w:r w:rsidR="00787CAE">
        <w:t>,</w:t>
      </w:r>
      <w:r w:rsidRPr="00564BCF">
        <w:t xml:space="preserve"> having first allocated </w:t>
      </w:r>
      <w:r>
        <w:t xml:space="preserve">the council’s </w:t>
      </w:r>
      <w:r w:rsidRPr="00564BCF">
        <w:t xml:space="preserve">assets to fully fund </w:t>
      </w:r>
      <w:r>
        <w:t>the</w:t>
      </w:r>
      <w:r w:rsidR="00787CAE">
        <w:t xml:space="preserve">ir </w:t>
      </w:r>
      <w:r w:rsidRPr="00564BCF">
        <w:t xml:space="preserve">deferred and pensioner members. </w:t>
      </w:r>
      <w:r w:rsidR="00FC3C73">
        <w:t xml:space="preserve">This funding level </w:t>
      </w:r>
      <w:r w:rsidR="001D3CD6">
        <w:t xml:space="preserve">will </w:t>
      </w:r>
      <w:r w:rsidR="00FC3C73">
        <w:t xml:space="preserve">then </w:t>
      </w:r>
      <w:r w:rsidR="001D3CD6">
        <w:t xml:space="preserve">be </w:t>
      </w:r>
      <w:r w:rsidR="00FC3C73">
        <w:t>applied to the transferring liabilities to calculate the academy’s initial asset share</w:t>
      </w:r>
      <w:r w:rsidR="00793B33">
        <w:t>, capped at a maximum of 100%</w:t>
      </w:r>
      <w:r w:rsidR="00FC3C73">
        <w:t>.</w:t>
      </w:r>
    </w:p>
    <w:p w14:paraId="63A4E418" w14:textId="2A8DDDBC" w:rsidR="00613081" w:rsidRDefault="002B68EE" w:rsidP="003D71A5">
      <w:pPr>
        <w:pStyle w:val="BodyTextGrey"/>
      </w:pPr>
      <w:r w:rsidRPr="00564BCF">
        <w:t>The</w:t>
      </w:r>
      <w:r>
        <w:t xml:space="preserve"> council’s estimated funding level </w:t>
      </w:r>
      <w:r w:rsidRPr="00564BCF">
        <w:t xml:space="preserve">will be based on market conditions on the day </w:t>
      </w:r>
      <w:r>
        <w:t>before</w:t>
      </w:r>
      <w:r w:rsidRPr="00564BCF">
        <w:t xml:space="preserve"> conversion</w:t>
      </w:r>
      <w:r>
        <w:t xml:space="preserve">. </w:t>
      </w:r>
      <w:r w:rsidR="00023A08">
        <w:t xml:space="preserve">The </w:t>
      </w:r>
      <w:r w:rsidR="000A15D0">
        <w:t>F</w:t>
      </w:r>
      <w:r w:rsidR="00023A08">
        <w:t>und treats new academies as s</w:t>
      </w:r>
      <w:r w:rsidR="00023A08" w:rsidRPr="00564BCF">
        <w:t xml:space="preserve">eparate </w:t>
      </w:r>
      <w:proofErr w:type="gramStart"/>
      <w:r w:rsidR="00023A08" w:rsidRPr="00564BCF">
        <w:t>employer</w:t>
      </w:r>
      <w:r w:rsidR="00023A08">
        <w:t>s in their own right</w:t>
      </w:r>
      <w:r w:rsidR="001D3CD6">
        <w:t>, who</w:t>
      </w:r>
      <w:proofErr w:type="gramEnd"/>
      <w:r w:rsidR="001D3CD6">
        <w:t xml:space="preserve"> are responsible for their allocated assets and liabilities</w:t>
      </w:r>
      <w:r w:rsidR="00023A08" w:rsidRPr="006A11B2">
        <w:t>.</w:t>
      </w:r>
      <w:r w:rsidR="003D71A5" w:rsidRPr="006A11B2">
        <w:t xml:space="preserve"> They won’t be pooled with other employers unless the academy is part of a multi-academy trust (MAT</w:t>
      </w:r>
      <w:r w:rsidR="004D0EBC" w:rsidRPr="006A11B2">
        <w:t>)</w:t>
      </w:r>
      <w:r w:rsidR="000F437C" w:rsidRPr="006A11B2">
        <w:t>.</w:t>
      </w:r>
      <w:r w:rsidR="004D0EBC">
        <w:t xml:space="preserve"> </w:t>
      </w:r>
    </w:p>
    <w:p w14:paraId="30716B00" w14:textId="7B1ECACF" w:rsidR="004D0EBC" w:rsidRPr="006A11B2" w:rsidRDefault="009F6D7A" w:rsidP="003D71A5">
      <w:pPr>
        <w:pStyle w:val="BodyTextGrey"/>
      </w:pPr>
      <w:r w:rsidRPr="006A11B2">
        <w:t xml:space="preserve">When a new academy joins while the London Borough of Enfield’s sub-fund is in deficit, the Administering Authority will allocate pension liabilities only for the academy’s current employees, with </w:t>
      </w:r>
      <w:r w:rsidR="00857E13" w:rsidRPr="006A11B2">
        <w:t xml:space="preserve">London Borough of </w:t>
      </w:r>
      <w:r w:rsidRPr="006A11B2">
        <w:t xml:space="preserve">Enfield retaining responsibility for former staff. The academy will receive a share of </w:t>
      </w:r>
      <w:r w:rsidR="001067B5" w:rsidRPr="006A11B2">
        <w:t xml:space="preserve">the </w:t>
      </w:r>
      <w:r w:rsidR="00351B7B" w:rsidRPr="006A11B2">
        <w:t xml:space="preserve">London Borough of Enfield’s </w:t>
      </w:r>
      <w:r w:rsidRPr="006A11B2">
        <w:t xml:space="preserve">assets using a “prioritised share of fund” method, inheriting a portion of the deficit linked to both its own and </w:t>
      </w:r>
      <w:r w:rsidR="00A104F9" w:rsidRPr="006A11B2">
        <w:t xml:space="preserve">the </w:t>
      </w:r>
      <w:r w:rsidR="00351B7B" w:rsidRPr="006A11B2">
        <w:t xml:space="preserve">London Borough of Enfield’s </w:t>
      </w:r>
      <w:r w:rsidRPr="006A11B2">
        <w:t xml:space="preserve">former employees. Contribution rates will match </w:t>
      </w:r>
      <w:r w:rsidR="00351B7B" w:rsidRPr="006A11B2">
        <w:t xml:space="preserve">London Borough of Enfield’s </w:t>
      </w:r>
      <w:r w:rsidRPr="006A11B2">
        <w:t xml:space="preserve">unless this results in a longer recovery period, in which case the academy’s recovery period and contributions will be adjusted to align with </w:t>
      </w:r>
      <w:r w:rsidR="00351B7B" w:rsidRPr="006A11B2">
        <w:t>London Borough of Enfield’s</w:t>
      </w:r>
      <w:r w:rsidRPr="006A11B2">
        <w:t>.</w:t>
      </w:r>
    </w:p>
    <w:p w14:paraId="104362A7" w14:textId="56A55E81" w:rsidR="00784C60" w:rsidRPr="006A11B2" w:rsidRDefault="00784C60" w:rsidP="003D71A5">
      <w:pPr>
        <w:pStyle w:val="BodyTextGrey"/>
      </w:pPr>
      <w:r w:rsidRPr="006A11B2">
        <w:t xml:space="preserve">When a new academy joins while the London Borough of Enfield’s sub-fund is in surplus, the Administering Authority will allocate liabilities only for the academy’s current employees, with </w:t>
      </w:r>
      <w:r w:rsidR="008E57D0" w:rsidRPr="006A11B2">
        <w:t xml:space="preserve">London Borough of Enfield </w:t>
      </w:r>
      <w:r w:rsidRPr="006A11B2">
        <w:t xml:space="preserve">retaining responsibility for former staff. The academy will receive assets equal to the value of those liabilities at the point of conversion, and its contribution rate will be set in line with </w:t>
      </w:r>
      <w:r w:rsidR="008E57D0" w:rsidRPr="006A11B2">
        <w:t xml:space="preserve">London Borough of Enfield’s </w:t>
      </w:r>
      <w:r w:rsidRPr="006A11B2">
        <w:t>future service (primary) rate until the next valuation.</w:t>
      </w:r>
    </w:p>
    <w:p w14:paraId="0AEACC8E" w14:textId="285D060E" w:rsidR="00083D90" w:rsidRPr="004F5C25" w:rsidRDefault="00083D90" w:rsidP="00083D90">
      <w:pPr>
        <w:pStyle w:val="BodyTextGrey"/>
      </w:pPr>
      <w:r w:rsidRPr="006A11B2">
        <w:t>The same principles as above apply for the allocation of assets and liabilities in cases where a local authority school is being converted to join a Multi Academy Trust. However, the contribution level required will be in line with the rate applicable to the Multi Academy Trust.</w:t>
      </w:r>
      <w:r>
        <w:t xml:space="preserve"> </w:t>
      </w:r>
    </w:p>
    <w:p w14:paraId="054B3B19" w14:textId="77777777" w:rsidR="00676D7A" w:rsidRPr="00676D7A" w:rsidRDefault="00676D7A" w:rsidP="004F5C25">
      <w:pPr>
        <w:spacing w:after="20" w:line="240" w:lineRule="auto"/>
        <w:jc w:val="left"/>
      </w:pPr>
    </w:p>
    <w:p w14:paraId="77BAD4DE" w14:textId="64DE0922" w:rsidR="00D75046" w:rsidRPr="00564BCF" w:rsidRDefault="003D71A5" w:rsidP="003D71A5">
      <w:pPr>
        <w:pStyle w:val="BodyTextGrey"/>
      </w:pPr>
      <w:r w:rsidRPr="00D32DB7">
        <w:lastRenderedPageBreak/>
        <w:t>If an academy leaves one MAT and joins another, all active, deferred and pensioner members transfer to the new MAT.</w:t>
      </w:r>
    </w:p>
    <w:p w14:paraId="55854E78" w14:textId="1F042DB8" w:rsidR="003D71A5" w:rsidRDefault="003D71A5" w:rsidP="003D71A5">
      <w:pPr>
        <w:pStyle w:val="BodyTextGrey"/>
      </w:pPr>
      <w:r w:rsidRPr="00564BCF">
        <w:t xml:space="preserve">The </w:t>
      </w:r>
      <w:r w:rsidR="00C27D4D">
        <w:t>F</w:t>
      </w:r>
      <w:r w:rsidRPr="00564BCF">
        <w:t xml:space="preserve">und’s policies on academies </w:t>
      </w:r>
      <w:r>
        <w:t xml:space="preserve">may change based on </w:t>
      </w:r>
      <w:r w:rsidR="00CB7D10">
        <w:t xml:space="preserve">updates to guidance from </w:t>
      </w:r>
      <w:r w:rsidR="00E00022">
        <w:t xml:space="preserve">the </w:t>
      </w:r>
      <w:bookmarkStart w:id="53" w:name="_Hlk195601700"/>
      <w:r w:rsidR="00427F4B" w:rsidRPr="004F5C25">
        <w:t>Ministry of Housing, Communities and Local Government</w:t>
      </w:r>
      <w:r w:rsidR="00427F4B">
        <w:t xml:space="preserve"> </w:t>
      </w:r>
      <w:r w:rsidR="00D21B3D">
        <w:t>or the Department for Education</w:t>
      </w:r>
      <w:bookmarkEnd w:id="53"/>
      <w:r w:rsidR="00CB7D10">
        <w:t xml:space="preserve">. </w:t>
      </w:r>
      <w:r>
        <w:t xml:space="preserve">Any changes will be communicated and reflected in future </w:t>
      </w:r>
      <w:r w:rsidR="00E00022">
        <w:t>funding strategy statements</w:t>
      </w:r>
      <w:r w:rsidRPr="00564BCF">
        <w:t>.</w:t>
      </w:r>
    </w:p>
    <w:p w14:paraId="4B74B754" w14:textId="0D7142C6" w:rsidR="00C804EB" w:rsidRDefault="00C804EB" w:rsidP="00C804EB">
      <w:pPr>
        <w:pStyle w:val="BodyTextGrey"/>
      </w:pPr>
    </w:p>
    <w:p w14:paraId="68D935C6" w14:textId="71C38C07" w:rsidR="0020292C" w:rsidRDefault="00C804EB" w:rsidP="00B5139D">
      <w:pPr>
        <w:pStyle w:val="Heading2Num"/>
        <w:numPr>
          <w:ilvl w:val="1"/>
          <w:numId w:val="1"/>
        </w:numPr>
      </w:pPr>
      <w:r>
        <w:t xml:space="preserve"> New admission bodies as a results of o</w:t>
      </w:r>
      <w:r w:rsidR="0020292C">
        <w:t>utsourcing services</w:t>
      </w:r>
    </w:p>
    <w:p w14:paraId="6FF0E590" w14:textId="78426011" w:rsidR="0020292C" w:rsidRPr="00C21640" w:rsidRDefault="0020292C" w:rsidP="0020292C">
      <w:pPr>
        <w:pStyle w:val="BodyTextGrey"/>
      </w:pPr>
      <w:r>
        <w:t>N</w:t>
      </w:r>
      <w:r w:rsidRPr="00C21640">
        <w:t xml:space="preserve">ew </w:t>
      </w:r>
      <w:r>
        <w:t xml:space="preserve">admission bodies usually join the </w:t>
      </w:r>
      <w:r w:rsidR="004A4AE8">
        <w:t>F</w:t>
      </w:r>
      <w:r>
        <w:t xml:space="preserve">und because </w:t>
      </w:r>
      <w:r w:rsidR="008D7EA6" w:rsidRPr="00C21640">
        <w:t>an existing employer (</w:t>
      </w:r>
      <w:r w:rsidR="008D7EA6">
        <w:t xml:space="preserve">usually </w:t>
      </w:r>
      <w:r w:rsidR="008D7EA6" w:rsidRPr="00C21640">
        <w:t xml:space="preserve">a </w:t>
      </w:r>
      <w:r w:rsidR="008D7EA6">
        <w:t>s</w:t>
      </w:r>
      <w:r w:rsidR="008D7EA6" w:rsidRPr="00C21640">
        <w:t xml:space="preserve">cheduled </w:t>
      </w:r>
      <w:r w:rsidR="008D7EA6">
        <w:t>b</w:t>
      </w:r>
      <w:r w:rsidR="008D7EA6" w:rsidRPr="00C21640">
        <w:t xml:space="preserve">ody </w:t>
      </w:r>
      <w:r w:rsidR="008D7EA6">
        <w:t xml:space="preserve">like </w:t>
      </w:r>
      <w:r w:rsidR="008D7EA6" w:rsidRPr="00C21640">
        <w:t>a council or academy)</w:t>
      </w:r>
      <w:r w:rsidR="008D7EA6">
        <w:t xml:space="preserve"> </w:t>
      </w:r>
      <w:r>
        <w:t>outsourc</w:t>
      </w:r>
      <w:r w:rsidR="008D7EA6">
        <w:t xml:space="preserve">es a </w:t>
      </w:r>
      <w:r w:rsidRPr="00C21640">
        <w:t xml:space="preserve">service </w:t>
      </w:r>
      <w:r w:rsidR="008D7EA6">
        <w:t>t</w:t>
      </w:r>
      <w:r w:rsidRPr="00C21640">
        <w:t>o another organisation (a contracto</w:t>
      </w:r>
      <w:r>
        <w:t>r</w:t>
      </w:r>
      <w:r w:rsidRPr="00C21640">
        <w:t>).</w:t>
      </w:r>
      <w:r>
        <w:t xml:space="preserve"> </w:t>
      </w:r>
      <w:r w:rsidRPr="00C21640">
        <w:t>This involves TUPE transfer</w:t>
      </w:r>
      <w:r>
        <w:t xml:space="preserve">s </w:t>
      </w:r>
      <w:r w:rsidRPr="00C21640">
        <w:t>of staff</w:t>
      </w:r>
      <w:r>
        <w:t xml:space="preserve"> from the letting employer</w:t>
      </w:r>
      <w:r w:rsidRPr="00C21640">
        <w:t xml:space="preserve"> to </w:t>
      </w:r>
      <w:r>
        <w:t xml:space="preserve">the </w:t>
      </w:r>
      <w:r w:rsidRPr="00C21640">
        <w:t>contractor</w:t>
      </w:r>
      <w:r>
        <w:t xml:space="preserve">. The contractor becomes a new participating </w:t>
      </w:r>
      <w:r w:rsidR="0025577A">
        <w:t>F</w:t>
      </w:r>
      <w:r>
        <w:t xml:space="preserve">und employer for the duration of the contract and </w:t>
      </w:r>
      <w:r w:rsidRPr="00C21640">
        <w:t xml:space="preserve">transferring employees </w:t>
      </w:r>
      <w:r>
        <w:t xml:space="preserve">remain eligible for </w:t>
      </w:r>
      <w:r w:rsidRPr="00C21640">
        <w:t>LGPS membership.</w:t>
      </w:r>
      <w:r>
        <w:t xml:space="preserve"> </w:t>
      </w:r>
      <w:r w:rsidRPr="00C21640">
        <w:t>At the end of the contract</w:t>
      </w:r>
      <w:r>
        <w:t xml:space="preserve">, </w:t>
      </w:r>
      <w:r w:rsidRPr="00C21640">
        <w:t xml:space="preserve">employees </w:t>
      </w:r>
      <w:r w:rsidR="008D7EA6">
        <w:t xml:space="preserve">typically </w:t>
      </w:r>
      <w:r w:rsidRPr="00C21640">
        <w:t xml:space="preserve">revert to the letting employer or </w:t>
      </w:r>
      <w:r>
        <w:t xml:space="preserve">a </w:t>
      </w:r>
      <w:r w:rsidRPr="00C21640">
        <w:t>replacement contractor.</w:t>
      </w:r>
    </w:p>
    <w:p w14:paraId="565235DF" w14:textId="256C62A4" w:rsidR="0006473D" w:rsidRDefault="0006473D" w:rsidP="0020292C">
      <w:pPr>
        <w:pStyle w:val="BodyTextGrey"/>
      </w:pPr>
      <w:r>
        <w:t>L</w:t>
      </w:r>
      <w:r w:rsidRPr="00564BCF">
        <w:t xml:space="preserve">iabilities </w:t>
      </w:r>
      <w:r>
        <w:t>for transferring ac</w:t>
      </w:r>
      <w:r w:rsidRPr="00564BCF">
        <w:t xml:space="preserve">tive </w:t>
      </w:r>
      <w:r>
        <w:t>m</w:t>
      </w:r>
      <w:r w:rsidRPr="00564BCF">
        <w:t>embers</w:t>
      </w:r>
      <w:r>
        <w:t xml:space="preserve"> </w:t>
      </w:r>
      <w:r w:rsidRPr="00564BCF">
        <w:t>will be calculate</w:t>
      </w:r>
      <w:r>
        <w:t xml:space="preserve">d by the </w:t>
      </w:r>
      <w:r w:rsidR="0025577A">
        <w:t>F</w:t>
      </w:r>
      <w:r>
        <w:t>und actuary on the day before the outsourcing occurs.</w:t>
      </w:r>
    </w:p>
    <w:p w14:paraId="07A3B017" w14:textId="294EDB6D" w:rsidR="0020292C" w:rsidRPr="00C21640" w:rsidRDefault="0006473D" w:rsidP="0020292C">
      <w:pPr>
        <w:pStyle w:val="BodyTextGrey"/>
      </w:pPr>
      <w:r>
        <w:t xml:space="preserve">New contractors will be </w:t>
      </w:r>
      <w:r w:rsidRPr="00564BCF">
        <w:t xml:space="preserve">allocated an asset share </w:t>
      </w:r>
      <w:r w:rsidR="0020292C" w:rsidRPr="00C21640">
        <w:t>equal to the</w:t>
      </w:r>
      <w:r>
        <w:t xml:space="preserve"> value of the transferring</w:t>
      </w:r>
      <w:r w:rsidR="0020292C" w:rsidRPr="00C21640">
        <w:t xml:space="preserve"> liabilit</w:t>
      </w:r>
      <w:r>
        <w:t>ies</w:t>
      </w:r>
      <w:r w:rsidR="0020292C" w:rsidRPr="00C21640">
        <w:t>.</w:t>
      </w:r>
      <w:r w:rsidR="0020292C">
        <w:t xml:space="preserve"> </w:t>
      </w:r>
      <w:r w:rsidR="00BA6B7F">
        <w:t xml:space="preserve">The admission agreement may set a different initial asset allocation, depending on </w:t>
      </w:r>
      <w:r w:rsidR="002C78B9">
        <w:t xml:space="preserve">contract-specific </w:t>
      </w:r>
      <w:r w:rsidR="00BA6B7F">
        <w:t>circumstances</w:t>
      </w:r>
      <w:r w:rsidR="002C78B9">
        <w:t xml:space="preserve">. </w:t>
      </w:r>
      <w:r w:rsidR="00BA6B7F">
        <w:t xml:space="preserve"> </w:t>
      </w:r>
    </w:p>
    <w:p w14:paraId="2DA70FB0" w14:textId="7A407AC1" w:rsidR="0020292C" w:rsidRDefault="0020292C" w:rsidP="0020292C">
      <w:pPr>
        <w:pStyle w:val="BodyTextGrey"/>
        <w:rPr>
          <w:color w:val="auto"/>
        </w:rPr>
      </w:pPr>
      <w:r>
        <w:t>There is flexibility for outsourcing employers when it comes to pension risk potentially taken on by the contractor</w:t>
      </w:r>
      <w:r w:rsidRPr="004F5C25">
        <w:t>.  You can find more details on outsourcing options</w:t>
      </w:r>
      <w:r w:rsidR="000F08AE" w:rsidRPr="004F5C25">
        <w:t xml:space="preserve"> from the administering authority or in the </w:t>
      </w:r>
      <w:r w:rsidR="00685473" w:rsidRPr="004F5C25">
        <w:t xml:space="preserve">contract </w:t>
      </w:r>
      <w:r w:rsidR="000F08AE" w:rsidRPr="004F5C25">
        <w:t>admission agreement</w:t>
      </w:r>
      <w:r w:rsidR="00685473" w:rsidRPr="004F5C25">
        <w:t>.</w:t>
      </w:r>
      <w:r w:rsidR="00685473" w:rsidRPr="00137BB9">
        <w:rPr>
          <w:color w:val="455560"/>
          <w:highlight w:val="yellow"/>
        </w:rPr>
        <w:t xml:space="preserve"> </w:t>
      </w:r>
    </w:p>
    <w:p w14:paraId="16B23D7F" w14:textId="552DEA80" w:rsidR="00137BB9" w:rsidRDefault="00137BB9" w:rsidP="0020292C">
      <w:pPr>
        <w:pStyle w:val="BodyTextGrey"/>
      </w:pPr>
      <w:r w:rsidRPr="005B42ED">
        <w:t>The Fund’s policy is to require all new admission bodies to be set up with a pass-through arrangement.</w:t>
      </w:r>
      <w:r w:rsidR="006747CE" w:rsidRPr="005B42ED" w:rsidDel="006747CE">
        <w:t xml:space="preserve"> </w:t>
      </w:r>
    </w:p>
    <w:p w14:paraId="4986E0B8" w14:textId="5A8B575C" w:rsidR="00C804EB" w:rsidRDefault="00C804EB" w:rsidP="00B5139D">
      <w:pPr>
        <w:pStyle w:val="Heading2Num"/>
        <w:numPr>
          <w:ilvl w:val="1"/>
          <w:numId w:val="1"/>
        </w:numPr>
      </w:pPr>
      <w:r>
        <w:t xml:space="preserve">Other new </w:t>
      </w:r>
      <w:r w:rsidR="00476FE4">
        <w:t>employers</w:t>
      </w:r>
      <w:r>
        <w:t xml:space="preserve"> </w:t>
      </w:r>
    </w:p>
    <w:p w14:paraId="2E673C73" w14:textId="4A10E7CC" w:rsidR="00C804EB" w:rsidRDefault="00C804EB" w:rsidP="0020292C">
      <w:pPr>
        <w:pStyle w:val="BodyTextGrey"/>
      </w:pPr>
      <w:r>
        <w:t xml:space="preserve">There may be other circumstances that lead to a new admission body entering the </w:t>
      </w:r>
      <w:r w:rsidR="00756205">
        <w:t>F</w:t>
      </w:r>
      <w:r>
        <w:t xml:space="preserve">und, </w:t>
      </w:r>
      <w:proofErr w:type="spellStart"/>
      <w:r>
        <w:t>eg</w:t>
      </w:r>
      <w:proofErr w:type="spellEnd"/>
      <w:r>
        <w:t xml:space="preserve"> set up of a wholly owned subsidiary company by a Local Authority.   Calculation of assets and liabilities on joining and a contribution rate will be carried out allowing for the circumstances of the new employer.  </w:t>
      </w:r>
    </w:p>
    <w:p w14:paraId="47A6C15D" w14:textId="676FD106" w:rsidR="00476FE4" w:rsidRDefault="00476FE4" w:rsidP="0020292C">
      <w:pPr>
        <w:pStyle w:val="BodyTextGrey"/>
      </w:pPr>
      <w:r>
        <w:t xml:space="preserve">New designated employers may also join the </w:t>
      </w:r>
      <w:r w:rsidR="00756205">
        <w:t>F</w:t>
      </w:r>
      <w:r>
        <w:t xml:space="preserve">und. These are usually town and parish councils.  Contribution rates will be set using the same approach as other designated employers in the </w:t>
      </w:r>
      <w:r w:rsidR="00756205">
        <w:t>F</w:t>
      </w:r>
      <w:r>
        <w:t xml:space="preserve">und.  </w:t>
      </w:r>
    </w:p>
    <w:p w14:paraId="0D211C27" w14:textId="5144A748" w:rsidR="002943D3" w:rsidRDefault="00C804EB" w:rsidP="00B5139D">
      <w:pPr>
        <w:pStyle w:val="Heading2Num"/>
        <w:numPr>
          <w:ilvl w:val="1"/>
          <w:numId w:val="1"/>
        </w:numPr>
      </w:pPr>
      <w:r>
        <w:t>Risk assessment for n</w:t>
      </w:r>
      <w:r w:rsidR="002943D3">
        <w:t>ew admission bodies</w:t>
      </w:r>
      <w:bookmarkEnd w:id="50"/>
    </w:p>
    <w:p w14:paraId="0C2C1352" w14:textId="2FF46457" w:rsidR="00B84C32" w:rsidRDefault="0020292C" w:rsidP="002943D3">
      <w:pPr>
        <w:pStyle w:val="BodyTextGrey"/>
      </w:pPr>
      <w:r>
        <w:t xml:space="preserve">Under </w:t>
      </w:r>
      <w:r w:rsidRPr="000F08AE">
        <w:t>the LGPS regulations</w:t>
      </w:r>
      <w:r w:rsidR="00685473">
        <w:t>,</w:t>
      </w:r>
      <w:r w:rsidRPr="000F08AE">
        <w:t xml:space="preserve"> a new</w:t>
      </w:r>
      <w:r>
        <w:t xml:space="preserve"> </w:t>
      </w:r>
      <w:r w:rsidR="00DA4D8A">
        <w:t xml:space="preserve">admission body </w:t>
      </w:r>
      <w:r w:rsidR="00ED1ECA">
        <w:t xml:space="preserve">must </w:t>
      </w:r>
      <w:r w:rsidR="00DA4D8A">
        <w:t xml:space="preserve">assess the risks it poses to the </w:t>
      </w:r>
      <w:r w:rsidR="00756205">
        <w:t>F</w:t>
      </w:r>
      <w:r w:rsidR="00DA4D8A">
        <w:t>und if the admission agreement ends early</w:t>
      </w:r>
      <w:r w:rsidR="00ED1ECA">
        <w:t xml:space="preserve">, </w:t>
      </w:r>
      <w:r>
        <w:t>for example if the admission body becomes insolvent or goes out of business.</w:t>
      </w:r>
      <w:r w:rsidR="00DA4D8A">
        <w:t xml:space="preserve"> </w:t>
      </w:r>
      <w:r w:rsidR="00BA6B7F">
        <w:t>In practice</w:t>
      </w:r>
      <w:r w:rsidR="006C34B5">
        <w:t xml:space="preserve">, </w:t>
      </w:r>
      <w:r w:rsidR="00BA6B7F">
        <w:t>the</w:t>
      </w:r>
      <w:r w:rsidR="00756205">
        <w:t xml:space="preserve"> F</w:t>
      </w:r>
      <w:r w:rsidR="00BA6B7F">
        <w:t>und actuary assess</w:t>
      </w:r>
      <w:r w:rsidR="00ED1ECA">
        <w:t>es this</w:t>
      </w:r>
      <w:r w:rsidR="006C34B5">
        <w:t xml:space="preserve"> because </w:t>
      </w:r>
      <w:r w:rsidR="009D4374">
        <w:t xml:space="preserve">the assessment </w:t>
      </w:r>
      <w:r w:rsidR="005E3524">
        <w:t xml:space="preserve">must </w:t>
      </w:r>
      <w:r w:rsidR="009D4374">
        <w:t xml:space="preserve">be carried out to the administering authority’s satisfaction. </w:t>
      </w:r>
    </w:p>
    <w:p w14:paraId="4A41CDE6" w14:textId="163997A0" w:rsidR="002943D3" w:rsidRDefault="009D4374" w:rsidP="002943D3">
      <w:pPr>
        <w:pStyle w:val="BodyTextGrey"/>
      </w:pPr>
      <w:r>
        <w:t xml:space="preserve">After considering the assessment, the </w:t>
      </w:r>
      <w:r w:rsidR="0020292C">
        <w:t xml:space="preserve">administering authority may </w:t>
      </w:r>
      <w:r w:rsidR="003D71A5">
        <w:t xml:space="preserve">decide </w:t>
      </w:r>
      <w:r w:rsidR="0020292C">
        <w:t>the admission body</w:t>
      </w:r>
      <w:r w:rsidR="003D71A5">
        <w:t xml:space="preserve"> must </w:t>
      </w:r>
      <w:r w:rsidR="0020292C">
        <w:t xml:space="preserve">provide </w:t>
      </w:r>
      <w:r w:rsidR="002943D3">
        <w:t xml:space="preserve">security, such as a guarantee from the letting employer, an indemnity or a bond. </w:t>
      </w:r>
    </w:p>
    <w:p w14:paraId="5984C034" w14:textId="59C8D21B" w:rsidR="002943D3" w:rsidRDefault="002943D3" w:rsidP="002943D3">
      <w:pPr>
        <w:pStyle w:val="BodyTextGrey"/>
      </w:pPr>
      <w:r>
        <w:t xml:space="preserve">This </w:t>
      </w:r>
      <w:r w:rsidR="009D4374">
        <w:t xml:space="preserve">must cover </w:t>
      </w:r>
      <w:r>
        <w:t xml:space="preserve">some or </w:t>
      </w:r>
      <w:proofErr w:type="gramStart"/>
      <w:r>
        <w:t>all</w:t>
      </w:r>
      <w:r w:rsidR="009D4374">
        <w:t xml:space="preserve"> of</w:t>
      </w:r>
      <w:proofErr w:type="gramEnd"/>
      <w:r w:rsidR="009D4374">
        <w:t xml:space="preserve"> the: </w:t>
      </w:r>
      <w:r>
        <w:t xml:space="preserve"> </w:t>
      </w:r>
    </w:p>
    <w:p w14:paraId="54CE67F3" w14:textId="0A323633" w:rsidR="002943D3" w:rsidRDefault="002943D3" w:rsidP="002943D3">
      <w:pPr>
        <w:pStyle w:val="BulletHymans"/>
        <w:numPr>
          <w:ilvl w:val="0"/>
          <w:numId w:val="18"/>
        </w:numPr>
      </w:pPr>
      <w:r>
        <w:t>strain costs of any early retirements</w:t>
      </w:r>
      <w:r w:rsidR="009D4374">
        <w:t>,</w:t>
      </w:r>
      <w:r>
        <w:t xml:space="preserve"> </w:t>
      </w:r>
      <w:r w:rsidR="0020292C">
        <w:t>if employees are made redundant when a contract ends prematurely</w:t>
      </w:r>
    </w:p>
    <w:p w14:paraId="0D76C60C" w14:textId="175C618D" w:rsidR="002943D3" w:rsidRDefault="002943D3" w:rsidP="002943D3">
      <w:pPr>
        <w:pStyle w:val="BulletHymans"/>
        <w:numPr>
          <w:ilvl w:val="0"/>
          <w:numId w:val="18"/>
        </w:numPr>
      </w:pPr>
      <w:r>
        <w:t xml:space="preserve">allowance for the risk of </w:t>
      </w:r>
      <w:r w:rsidR="0020292C">
        <w:t>assets performing less well than expected</w:t>
      </w:r>
    </w:p>
    <w:p w14:paraId="20987C00" w14:textId="6782949C" w:rsidR="002943D3" w:rsidRPr="00BB77BA" w:rsidRDefault="002943D3" w:rsidP="002943D3">
      <w:pPr>
        <w:pStyle w:val="BulletHymans"/>
        <w:numPr>
          <w:ilvl w:val="0"/>
          <w:numId w:val="18"/>
        </w:numPr>
      </w:pPr>
      <w:r>
        <w:t xml:space="preserve">allowance for the risk of </w:t>
      </w:r>
      <w:r w:rsidR="0020292C">
        <w:t xml:space="preserve">liabilities being </w:t>
      </w:r>
      <w:r w:rsidRPr="00BB77BA">
        <w:t>greater than expected</w:t>
      </w:r>
    </w:p>
    <w:p w14:paraId="14D9C3F9" w14:textId="6E688CFE" w:rsidR="002943D3" w:rsidRDefault="002943D3" w:rsidP="002943D3">
      <w:pPr>
        <w:pStyle w:val="BulletHymans"/>
        <w:numPr>
          <w:ilvl w:val="0"/>
          <w:numId w:val="18"/>
        </w:numPr>
      </w:pPr>
      <w:r>
        <w:t>allowance for the possible non-payment of employer and member contributions</w:t>
      </w:r>
    </w:p>
    <w:p w14:paraId="18FB2955" w14:textId="61010008" w:rsidR="008D4AAE" w:rsidRDefault="0020292C" w:rsidP="008D4AAE">
      <w:pPr>
        <w:pStyle w:val="BulletHymans"/>
        <w:numPr>
          <w:ilvl w:val="0"/>
          <w:numId w:val="18"/>
        </w:numPr>
      </w:pPr>
      <w:r>
        <w:lastRenderedPageBreak/>
        <w:t>admission body’s existing</w:t>
      </w:r>
      <w:r w:rsidR="002943D3">
        <w:t xml:space="preserve"> deficit.</w:t>
      </w:r>
    </w:p>
    <w:p w14:paraId="1338C275" w14:textId="5BFBA5B6" w:rsidR="00AC1827" w:rsidRDefault="00AC1827" w:rsidP="00AC1827">
      <w:pPr>
        <w:pStyle w:val="BodyTextGrey"/>
      </w:pPr>
      <w:r w:rsidRPr="004F5C25">
        <w:t xml:space="preserve">The </w:t>
      </w:r>
      <w:r w:rsidRPr="005B42ED">
        <w:t xml:space="preserve">Fund’s admissions policy is </w:t>
      </w:r>
      <w:r w:rsidR="00944B48" w:rsidRPr="005B42ED">
        <w:t xml:space="preserve">available </w:t>
      </w:r>
      <w:r w:rsidR="00461C3E">
        <w:t xml:space="preserve">on the fund </w:t>
      </w:r>
      <w:proofErr w:type="gramStart"/>
      <w:r w:rsidR="00461C3E">
        <w:t>website.</w:t>
      </w:r>
      <w:r w:rsidRPr="005B42ED">
        <w:t>.</w:t>
      </w:r>
      <w:proofErr w:type="gramEnd"/>
    </w:p>
    <w:p w14:paraId="0F5F9C7E" w14:textId="77777777" w:rsidR="008D4AAE" w:rsidRPr="00B5139D" w:rsidRDefault="008D4AAE" w:rsidP="008D4AAE">
      <w:pPr>
        <w:pStyle w:val="BodyTextGrey"/>
      </w:pPr>
    </w:p>
    <w:p w14:paraId="7F7F4EA1" w14:textId="77777777" w:rsidR="00C30831" w:rsidRDefault="00C30831">
      <w:pPr>
        <w:spacing w:after="20" w:line="240" w:lineRule="auto"/>
        <w:jc w:val="left"/>
        <w:rPr>
          <w:rFonts w:cs="Times New Roman"/>
          <w:iCs w:val="0"/>
          <w:color w:val="3FA6CC"/>
          <w:kern w:val="28"/>
          <w:sz w:val="36"/>
          <w:lang w:eastAsia="en-US"/>
        </w:rPr>
      </w:pPr>
      <w:bookmarkStart w:id="54" w:name="_Toc112068180"/>
      <w:r>
        <w:br w:type="page"/>
      </w:r>
    </w:p>
    <w:p w14:paraId="16CDAFAE" w14:textId="1D632496" w:rsidR="00621E53" w:rsidRPr="00A43A4A" w:rsidRDefault="00621E53" w:rsidP="00621E53">
      <w:pPr>
        <w:pStyle w:val="Heading1Num"/>
        <w:numPr>
          <w:ilvl w:val="0"/>
          <w:numId w:val="1"/>
        </w:numPr>
      </w:pPr>
      <w:r>
        <w:lastRenderedPageBreak/>
        <w:t>What happens if an employer has a</w:t>
      </w:r>
      <w:r w:rsidRPr="00A43A4A">
        <w:t xml:space="preserve"> bulk transfer</w:t>
      </w:r>
      <w:r>
        <w:t xml:space="preserve"> of staff</w:t>
      </w:r>
      <w:r w:rsidRPr="00A43A4A">
        <w:t>?</w:t>
      </w:r>
      <w:bookmarkEnd w:id="54"/>
      <w:r w:rsidRPr="00A43A4A">
        <w:t xml:space="preserve"> </w:t>
      </w:r>
    </w:p>
    <w:p w14:paraId="61ACE328" w14:textId="103D8DFD" w:rsidR="00070A2E" w:rsidRPr="008D74A4" w:rsidRDefault="001D3988" w:rsidP="00070A2E">
      <w:pPr>
        <w:pStyle w:val="BodyTextGrey"/>
      </w:pPr>
      <w:r>
        <w:t xml:space="preserve">Bulk transfer cases will be looked at individually, </w:t>
      </w:r>
      <w:r w:rsidR="00070A2E">
        <w:t xml:space="preserve">but generally: </w:t>
      </w:r>
    </w:p>
    <w:p w14:paraId="40935AE9" w14:textId="4B48C0A2" w:rsidR="00070A2E" w:rsidRPr="008D74A4" w:rsidRDefault="00070A2E" w:rsidP="00070A2E">
      <w:pPr>
        <w:pStyle w:val="BulletHymans"/>
        <w:numPr>
          <w:ilvl w:val="0"/>
          <w:numId w:val="23"/>
        </w:numPr>
      </w:pPr>
      <w:r>
        <w:t>t</w:t>
      </w:r>
      <w:r w:rsidRPr="008D74A4">
        <w:t xml:space="preserve">he </w:t>
      </w:r>
      <w:r w:rsidR="00944B48">
        <w:t>F</w:t>
      </w:r>
      <w:r w:rsidRPr="008D74A4">
        <w:t>und w</w:t>
      </w:r>
      <w:r>
        <w:t xml:space="preserve">on’t </w:t>
      </w:r>
      <w:r w:rsidRPr="008D74A4">
        <w:t>pay bulk transfers greater</w:t>
      </w:r>
      <w:r>
        <w:t xml:space="preserve"> in value than either </w:t>
      </w:r>
      <w:r w:rsidRPr="008D74A4">
        <w:t xml:space="preserve">the asset share of the transferring employer in the </w:t>
      </w:r>
      <w:r w:rsidR="00944B48">
        <w:t>F</w:t>
      </w:r>
      <w:r w:rsidRPr="008D74A4">
        <w:t>und</w:t>
      </w:r>
      <w:r>
        <w:t xml:space="preserve">, or </w:t>
      </w:r>
      <w:r w:rsidRPr="008D74A4">
        <w:t>the value of the liabilities of the transferring members</w:t>
      </w:r>
      <w:r>
        <w:t>, whichever is lower</w:t>
      </w:r>
    </w:p>
    <w:p w14:paraId="70136D44" w14:textId="0D622B0B" w:rsidR="00070A2E" w:rsidRPr="008D74A4" w:rsidRDefault="00070A2E" w:rsidP="00070A2E">
      <w:pPr>
        <w:pStyle w:val="BulletHymans"/>
        <w:numPr>
          <w:ilvl w:val="0"/>
          <w:numId w:val="23"/>
        </w:numPr>
      </w:pPr>
      <w:r>
        <w:t>t</w:t>
      </w:r>
      <w:r w:rsidRPr="008D74A4">
        <w:t xml:space="preserve">he </w:t>
      </w:r>
      <w:r w:rsidR="00944B48">
        <w:t>F</w:t>
      </w:r>
      <w:r w:rsidRPr="008D74A4">
        <w:t xml:space="preserve">und </w:t>
      </w:r>
      <w:r>
        <w:t xml:space="preserve">won’t </w:t>
      </w:r>
      <w:r w:rsidRPr="008D74A4">
        <w:t xml:space="preserve">grant added benefits to members bringing in entitlements from another </w:t>
      </w:r>
      <w:r w:rsidR="00944B48">
        <w:t>F</w:t>
      </w:r>
      <w:r w:rsidRPr="008D74A4">
        <w:t>und</w:t>
      </w:r>
      <w:r>
        <w:t xml:space="preserve">, </w:t>
      </w:r>
      <w:r w:rsidRPr="008D74A4">
        <w:t>unless the asset transfer is</w:t>
      </w:r>
      <w:r>
        <w:t xml:space="preserve"> enough to </w:t>
      </w:r>
      <w:r w:rsidRPr="008D74A4">
        <w:t>meet the added liabilities</w:t>
      </w:r>
    </w:p>
    <w:p w14:paraId="3453B4A0" w14:textId="0A1A01EB" w:rsidR="00070A2E" w:rsidRDefault="00070A2E" w:rsidP="00070A2E">
      <w:pPr>
        <w:pStyle w:val="BulletHymans"/>
        <w:numPr>
          <w:ilvl w:val="0"/>
          <w:numId w:val="23"/>
        </w:numPr>
      </w:pPr>
      <w:r>
        <w:t>t</w:t>
      </w:r>
      <w:r w:rsidRPr="008D74A4">
        <w:t xml:space="preserve">he </w:t>
      </w:r>
      <w:r w:rsidR="00944B48">
        <w:t>F</w:t>
      </w:r>
      <w:r w:rsidRPr="008D74A4">
        <w:t xml:space="preserve">und may permit shortfalls on bulk transfers if the employer has </w:t>
      </w:r>
      <w:r>
        <w:t>a suitable coven</w:t>
      </w:r>
      <w:r w:rsidRPr="008D74A4">
        <w:t>ant and commits to meeting th</w:t>
      </w:r>
      <w:r>
        <w:t xml:space="preserve">e </w:t>
      </w:r>
      <w:r w:rsidRPr="008D74A4">
        <w:t>shortfall in an appropriate period</w:t>
      </w:r>
      <w:r>
        <w:t>, which may require increased c</w:t>
      </w:r>
      <w:r w:rsidRPr="008D74A4">
        <w:t>ontributions between valuations.</w:t>
      </w:r>
      <w:r>
        <w:t xml:space="preserve"> </w:t>
      </w:r>
    </w:p>
    <w:p w14:paraId="38B106BA" w14:textId="77777777" w:rsidR="00070A2E" w:rsidRDefault="00070A2E" w:rsidP="00AC1827">
      <w:pPr>
        <w:pStyle w:val="BodyTextGrey"/>
      </w:pPr>
    </w:p>
    <w:p w14:paraId="0DAFC71B" w14:textId="0388CA97" w:rsidR="002943D3" w:rsidRDefault="002943D3" w:rsidP="002943D3">
      <w:pPr>
        <w:pStyle w:val="Heading2"/>
      </w:pPr>
    </w:p>
    <w:p w14:paraId="284A2798" w14:textId="77777777" w:rsidR="00070A2E" w:rsidRDefault="00070A2E">
      <w:pPr>
        <w:spacing w:after="20" w:line="240" w:lineRule="auto"/>
        <w:jc w:val="left"/>
        <w:rPr>
          <w:rFonts w:cs="Times New Roman"/>
          <w:iCs w:val="0"/>
          <w:color w:val="3FA6CC"/>
          <w:kern w:val="28"/>
          <w:sz w:val="36"/>
          <w:lang w:eastAsia="en-US"/>
        </w:rPr>
      </w:pPr>
      <w:bookmarkStart w:id="55" w:name="_Toc107385423"/>
      <w:bookmarkStart w:id="56" w:name="_Toc107385424"/>
      <w:bookmarkStart w:id="57" w:name="_Toc107385425"/>
      <w:bookmarkStart w:id="58" w:name="_Toc107385426"/>
      <w:bookmarkStart w:id="59" w:name="_Toc107385427"/>
      <w:bookmarkStart w:id="60" w:name="_Toc107385428"/>
      <w:bookmarkStart w:id="61" w:name="_Toc107385429"/>
      <w:bookmarkStart w:id="62" w:name="_Toc107385430"/>
      <w:bookmarkStart w:id="63" w:name="_Toc107385431"/>
      <w:bookmarkStart w:id="64" w:name="_Toc107385432"/>
      <w:bookmarkStart w:id="65" w:name="_Toc107385433"/>
      <w:bookmarkStart w:id="66" w:name="_Toc107385434"/>
      <w:bookmarkStart w:id="67" w:name="_Toc107385435"/>
      <w:bookmarkStart w:id="68" w:name="_Toc107385436"/>
      <w:bookmarkStart w:id="69" w:name="_Toc107385437"/>
      <w:bookmarkStart w:id="70" w:name="_Toc107385438"/>
      <w:bookmarkStart w:id="71" w:name="_Toc107385439"/>
      <w:bookmarkStart w:id="72" w:name="_Toc107385440"/>
      <w:bookmarkStart w:id="73" w:name="_Toc107385441"/>
      <w:bookmarkStart w:id="74" w:name="_Toc107385442"/>
      <w:bookmarkStart w:id="75" w:name="_Toc107385443"/>
      <w:bookmarkStart w:id="76" w:name="_Toc10738544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br w:type="page"/>
      </w:r>
    </w:p>
    <w:p w14:paraId="445FB2CB" w14:textId="6A181782" w:rsidR="00151C95" w:rsidRDefault="00C65137" w:rsidP="00B5139D">
      <w:pPr>
        <w:pStyle w:val="Heading1Num"/>
        <w:pageBreakBefore/>
        <w:numPr>
          <w:ilvl w:val="0"/>
          <w:numId w:val="1"/>
        </w:numPr>
      </w:pPr>
      <w:bookmarkStart w:id="77" w:name="_Toc112068181"/>
      <w:r>
        <w:lastRenderedPageBreak/>
        <w:t>What happens when an employer leaves t</w:t>
      </w:r>
      <w:r w:rsidR="00151C95">
        <w:t xml:space="preserve">he </w:t>
      </w:r>
      <w:r w:rsidR="00881345">
        <w:t>F</w:t>
      </w:r>
      <w:r w:rsidR="00151C95">
        <w:t>und</w:t>
      </w:r>
      <w:bookmarkEnd w:id="49"/>
      <w:r>
        <w:t>?</w:t>
      </w:r>
      <w:bookmarkEnd w:id="77"/>
      <w:r>
        <w:t xml:space="preserve"> </w:t>
      </w:r>
    </w:p>
    <w:p w14:paraId="3417ACE1" w14:textId="77777777" w:rsidR="00476FE4" w:rsidRDefault="00476FE4" w:rsidP="00B5139D">
      <w:pPr>
        <w:pStyle w:val="Heading2Num"/>
        <w:numPr>
          <w:ilvl w:val="1"/>
          <w:numId w:val="1"/>
        </w:numPr>
      </w:pPr>
      <w:bookmarkStart w:id="78" w:name="_Toc86162859"/>
      <w:r>
        <w:t xml:space="preserve">What is a cessation event? </w:t>
      </w:r>
    </w:p>
    <w:p w14:paraId="0B50056A" w14:textId="3842A979" w:rsidR="00476FE4" w:rsidRDefault="00476FE4" w:rsidP="00476FE4">
      <w:pPr>
        <w:pStyle w:val="BodyTextGrey"/>
      </w:pPr>
      <w:r>
        <w:t xml:space="preserve">Triggers for considering cessation </w:t>
      </w:r>
      <w:r w:rsidR="00FA5062">
        <w:t xml:space="preserve">from the </w:t>
      </w:r>
      <w:r w:rsidR="00881345">
        <w:t>F</w:t>
      </w:r>
      <w:r w:rsidR="00FA5062">
        <w:t xml:space="preserve">und </w:t>
      </w:r>
      <w:r>
        <w:t xml:space="preserve">are:  </w:t>
      </w:r>
    </w:p>
    <w:p w14:paraId="17EC6689" w14:textId="087407AA" w:rsidR="00476FE4" w:rsidRDefault="00476FE4" w:rsidP="00476FE4">
      <w:pPr>
        <w:pStyle w:val="BodyTextGrey"/>
        <w:numPr>
          <w:ilvl w:val="0"/>
          <w:numId w:val="20"/>
        </w:numPr>
      </w:pPr>
      <w:r>
        <w:t xml:space="preserve">the last active member stops participation in the </w:t>
      </w:r>
      <w:r w:rsidR="00881345">
        <w:t>F</w:t>
      </w:r>
      <w:r>
        <w:t>und. The administering authority</w:t>
      </w:r>
      <w:r w:rsidR="00FA5062">
        <w:t xml:space="preserve">, </w:t>
      </w:r>
      <w:r w:rsidR="00FA5062" w:rsidRPr="004F5C25">
        <w:t xml:space="preserve">at </w:t>
      </w:r>
      <w:r w:rsidR="00881345" w:rsidRPr="004F5C25">
        <w:t xml:space="preserve">its </w:t>
      </w:r>
      <w:r w:rsidR="00FA5062" w:rsidRPr="004F5C25">
        <w:t>discretion</w:t>
      </w:r>
      <w:r w:rsidR="00FA5062">
        <w:t>,</w:t>
      </w:r>
      <w:r>
        <w:t xml:space="preserve"> can defer acting for up to three years by issuing a suspension notice. That means cessation won’t be triggered if the employer takes on one or more active members during the agreed time </w:t>
      </w:r>
    </w:p>
    <w:p w14:paraId="632663FE" w14:textId="77777777" w:rsidR="00476FE4" w:rsidRDefault="00476FE4" w:rsidP="00476FE4">
      <w:pPr>
        <w:pStyle w:val="BodyTextGrey"/>
        <w:numPr>
          <w:ilvl w:val="0"/>
          <w:numId w:val="20"/>
        </w:numPr>
      </w:pPr>
      <w:r>
        <w:t>insolvency, winding up or liquidation of the admission body</w:t>
      </w:r>
    </w:p>
    <w:p w14:paraId="52D6F963" w14:textId="6656C053" w:rsidR="00476FE4" w:rsidRDefault="00476FE4" w:rsidP="00476FE4">
      <w:pPr>
        <w:pStyle w:val="BulletHymans"/>
        <w:numPr>
          <w:ilvl w:val="0"/>
          <w:numId w:val="20"/>
        </w:numPr>
      </w:pPr>
      <w:r>
        <w:t xml:space="preserve">a breach of the agreement obligations that isn’t remedied to the </w:t>
      </w:r>
      <w:r w:rsidR="00881345">
        <w:t>F</w:t>
      </w:r>
      <w:r>
        <w:t xml:space="preserve">und’s satisfaction </w:t>
      </w:r>
    </w:p>
    <w:p w14:paraId="1C2A3D4F" w14:textId="77777777" w:rsidR="00476FE4" w:rsidRDefault="00476FE4" w:rsidP="00476FE4">
      <w:pPr>
        <w:pStyle w:val="BulletHymans"/>
        <w:numPr>
          <w:ilvl w:val="0"/>
          <w:numId w:val="20"/>
        </w:numPr>
      </w:pPr>
      <w:r>
        <w:t xml:space="preserve">failure to pay any sums due within the period required </w:t>
      </w:r>
    </w:p>
    <w:p w14:paraId="1B7EBA39" w14:textId="77777777" w:rsidR="00476FE4" w:rsidRDefault="00476FE4" w:rsidP="00476FE4">
      <w:pPr>
        <w:pStyle w:val="BulletHymans"/>
        <w:numPr>
          <w:ilvl w:val="0"/>
          <w:numId w:val="20"/>
        </w:numPr>
      </w:pPr>
      <w:r>
        <w:t>failure to renew or adjust the level of a bond or indemnity, or to confirm an appropriate alternative guarantor</w:t>
      </w:r>
    </w:p>
    <w:p w14:paraId="67BACADC" w14:textId="77777777" w:rsidR="00476FE4" w:rsidRDefault="00476FE4" w:rsidP="00476FE4">
      <w:pPr>
        <w:pStyle w:val="BulletHymans"/>
        <w:numPr>
          <w:ilvl w:val="0"/>
          <w:numId w:val="20"/>
        </w:numPr>
      </w:pPr>
      <w:r>
        <w:t>termination of a deferred debt arrangement (DDA).</w:t>
      </w:r>
    </w:p>
    <w:p w14:paraId="040555EF" w14:textId="23738AAC" w:rsidR="00476FE4" w:rsidRDefault="00476FE4" w:rsidP="00476FE4">
      <w:pPr>
        <w:pStyle w:val="BulletHymans"/>
        <w:numPr>
          <w:ilvl w:val="0"/>
          <w:numId w:val="0"/>
        </w:numPr>
      </w:pPr>
      <w:r>
        <w:t xml:space="preserve">If no DDA exists, the administering authority will instruct the </w:t>
      </w:r>
      <w:r w:rsidR="00411398">
        <w:t>F</w:t>
      </w:r>
      <w:r>
        <w:t xml:space="preserve">und actuary to carry out a cessation valuation to calculate if there is a surplus or a deficit when the </w:t>
      </w:r>
      <w:r w:rsidR="00411398">
        <w:t xml:space="preserve">employer </w:t>
      </w:r>
      <w:r>
        <w:t xml:space="preserve">leaves the </w:t>
      </w:r>
      <w:r w:rsidR="00411398">
        <w:t>Fund</w:t>
      </w:r>
      <w:r>
        <w:t xml:space="preserve">.  </w:t>
      </w:r>
    </w:p>
    <w:p w14:paraId="65E5CDFC" w14:textId="48A18D85" w:rsidR="00151C95" w:rsidRPr="001E7E5F" w:rsidRDefault="00C65137" w:rsidP="00B5139D">
      <w:pPr>
        <w:pStyle w:val="Heading2Num"/>
        <w:numPr>
          <w:ilvl w:val="1"/>
          <w:numId w:val="1"/>
        </w:numPr>
      </w:pPr>
      <w:bookmarkStart w:id="79" w:name="_Toc86162861"/>
      <w:bookmarkEnd w:id="78"/>
      <w:r>
        <w:t xml:space="preserve">What happens on </w:t>
      </w:r>
      <w:r w:rsidR="00151C95">
        <w:t>cessation</w:t>
      </w:r>
      <w:bookmarkEnd w:id="79"/>
      <w:r>
        <w:t xml:space="preserve">? </w:t>
      </w:r>
    </w:p>
    <w:p w14:paraId="3C1C3362" w14:textId="38282D51" w:rsidR="00151C95" w:rsidRPr="00424C26" w:rsidRDefault="00D10AE0" w:rsidP="00151C95">
      <w:pPr>
        <w:pStyle w:val="BodyTextGrey"/>
      </w:pPr>
      <w:r>
        <w:t xml:space="preserve">The administering authority must protect the interests of </w:t>
      </w:r>
      <w:r w:rsidR="0029792E">
        <w:t xml:space="preserve">the </w:t>
      </w:r>
      <w:r w:rsidR="00004D7A">
        <w:t xml:space="preserve">remaining </w:t>
      </w:r>
      <w:r w:rsidR="000E11A0">
        <w:t>F</w:t>
      </w:r>
      <w:r w:rsidR="00004D7A">
        <w:t xml:space="preserve">und </w:t>
      </w:r>
      <w:r>
        <w:t xml:space="preserve">employers when </w:t>
      </w:r>
      <w:r w:rsidR="0029792E">
        <w:t>an employer leaves the scheme</w:t>
      </w:r>
      <w:r w:rsidR="00625FED">
        <w:t xml:space="preserve">. </w:t>
      </w:r>
      <w:r>
        <w:t xml:space="preserve">The </w:t>
      </w:r>
      <w:r w:rsidR="00151C95" w:rsidRPr="00424C26">
        <w:t>actuary</w:t>
      </w:r>
      <w:r w:rsidR="00004D7A">
        <w:t xml:space="preserve"> aims to protect remaining </w:t>
      </w:r>
      <w:r w:rsidR="00151C95" w:rsidRPr="00424C26">
        <w:t xml:space="preserve">employers from the </w:t>
      </w:r>
      <w:r w:rsidR="00004D7A">
        <w:t xml:space="preserve">risk of future </w:t>
      </w:r>
      <w:r w:rsidR="00151C95" w:rsidRPr="00424C26">
        <w:t>loss</w:t>
      </w:r>
      <w:r w:rsidR="0029792E">
        <w:t xml:space="preserve">. </w:t>
      </w:r>
      <w:r w:rsidR="006F1BF4">
        <w:t xml:space="preserve"> </w:t>
      </w:r>
      <w:r w:rsidR="00215B23">
        <w:t xml:space="preserve">The funding target adopted for the cessation calculation is below. These are defined in </w:t>
      </w:r>
      <w:hyperlink w:anchor="AppendixD" w:history="1">
        <w:r w:rsidR="00215B23" w:rsidRPr="000442D4">
          <w:rPr>
            <w:rStyle w:val="Hyperlink"/>
          </w:rPr>
          <w:t>Appendix D</w:t>
        </w:r>
      </w:hyperlink>
      <w:r w:rsidR="00215B23">
        <w:t xml:space="preserve">. </w:t>
      </w:r>
    </w:p>
    <w:p w14:paraId="20EC1397" w14:textId="3F892675" w:rsidR="00151C95" w:rsidRDefault="00151C95" w:rsidP="00582B64">
      <w:pPr>
        <w:pStyle w:val="BodyTextGrey"/>
        <w:numPr>
          <w:ilvl w:val="4"/>
          <w:numId w:val="19"/>
        </w:numPr>
        <w:ind w:left="709" w:hanging="567"/>
      </w:pPr>
      <w:r w:rsidRPr="00424C26">
        <w:t xml:space="preserve">Where </w:t>
      </w:r>
      <w:r w:rsidR="00D10AE0">
        <w:t>there is no g</w:t>
      </w:r>
      <w:r w:rsidRPr="00424C26">
        <w:t>uarantor</w:t>
      </w:r>
      <w:r w:rsidR="00D10AE0">
        <w:t xml:space="preserve">, </w:t>
      </w:r>
      <w:r w:rsidRPr="00424C26">
        <w:t xml:space="preserve">cessation liabilities and </w:t>
      </w:r>
      <w:r w:rsidR="0029792E">
        <w:t xml:space="preserve">a </w:t>
      </w:r>
      <w:r w:rsidRPr="00424C26">
        <w:t xml:space="preserve">final </w:t>
      </w:r>
      <w:r w:rsidRPr="00D21B3D">
        <w:t>surplus/deficit</w:t>
      </w:r>
      <w:r w:rsidRPr="00424C26">
        <w:t xml:space="preserve"> will </w:t>
      </w:r>
      <w:r w:rsidR="00D10AE0">
        <w:t>usually</w:t>
      </w:r>
      <w:r w:rsidRPr="00424C26">
        <w:t xml:space="preserve"> be calculated using a </w:t>
      </w:r>
      <w:r w:rsidR="0003314B">
        <w:t>low-risk</w:t>
      </w:r>
      <w:r w:rsidRPr="00EF5382">
        <w:t xml:space="preserve"> </w:t>
      </w:r>
      <w:r w:rsidRPr="00424C26">
        <w:t>basis</w:t>
      </w:r>
      <w:r w:rsidR="00625FED">
        <w:t xml:space="preserve">, which is </w:t>
      </w:r>
      <w:r w:rsidRPr="00424C26">
        <w:t xml:space="preserve">more prudent than the </w:t>
      </w:r>
      <w:r w:rsidRPr="00D21B3D">
        <w:t xml:space="preserve">ongoing participation basis. </w:t>
      </w:r>
      <w:r w:rsidR="00476FE4">
        <w:t xml:space="preserve"> The </w:t>
      </w:r>
      <w:proofErr w:type="gramStart"/>
      <w:r w:rsidR="00476FE4">
        <w:t>low-risk</w:t>
      </w:r>
      <w:proofErr w:type="gramEnd"/>
      <w:r w:rsidR="00476FE4">
        <w:t xml:space="preserve"> exit basis is defined </w:t>
      </w:r>
      <w:r w:rsidR="005B16D1">
        <w:t xml:space="preserve">in </w:t>
      </w:r>
      <w:hyperlink w:anchor="AppendixD" w:history="1">
        <w:r w:rsidR="005B16D1" w:rsidRPr="005B16D1">
          <w:rPr>
            <w:rStyle w:val="Hyperlink"/>
          </w:rPr>
          <w:t>Appendix D</w:t>
        </w:r>
      </w:hyperlink>
      <w:r w:rsidR="005B16D1">
        <w:t>.</w:t>
      </w:r>
    </w:p>
    <w:p w14:paraId="44813081" w14:textId="77777777" w:rsidR="00675EAF" w:rsidRDefault="00151C95" w:rsidP="00675EAF">
      <w:pPr>
        <w:pStyle w:val="BodyTextGrey"/>
        <w:numPr>
          <w:ilvl w:val="4"/>
          <w:numId w:val="19"/>
        </w:numPr>
        <w:ind w:left="709" w:hanging="567"/>
      </w:pPr>
      <w:r w:rsidRPr="00424C26">
        <w:t>Where there is a guaranto</w:t>
      </w:r>
      <w:r w:rsidR="008103AB">
        <w:t>r</w:t>
      </w:r>
      <w:r w:rsidR="00D616B6">
        <w:t xml:space="preserve">, </w:t>
      </w:r>
      <w:r w:rsidRPr="00424C26">
        <w:t xml:space="preserve">the guarantee will be considered </w:t>
      </w:r>
      <w:r w:rsidR="008103AB">
        <w:t xml:space="preserve">before </w:t>
      </w:r>
      <w:r w:rsidR="007715BA">
        <w:t xml:space="preserve">the </w:t>
      </w:r>
      <w:r w:rsidRPr="00424C26">
        <w:t>cessation valuation</w:t>
      </w:r>
      <w:r w:rsidR="00650BE2">
        <w:t xml:space="preserve">. </w:t>
      </w:r>
    </w:p>
    <w:p w14:paraId="2A7CBD7F" w14:textId="77777777" w:rsidR="00675EAF" w:rsidRDefault="00675EAF" w:rsidP="00675EAF">
      <w:pPr>
        <w:pStyle w:val="BodyTextGrey"/>
        <w:numPr>
          <w:ilvl w:val="1"/>
          <w:numId w:val="19"/>
        </w:numPr>
      </w:pPr>
      <w:r w:rsidRPr="00D21B3D">
        <w:t>Where the guarantor is a guarantor of last resort</w:t>
      </w:r>
      <w:r>
        <w:t xml:space="preserve"> (i.e. where the guarantee will cease to have affect after the cessation event and final settlement)</w:t>
      </w:r>
      <w:r w:rsidRPr="00D21B3D">
        <w:t xml:space="preserve">, this will have no effect on the cessation valuation. </w:t>
      </w:r>
    </w:p>
    <w:p w14:paraId="12A5BF72" w14:textId="785F5C1B" w:rsidR="00675EAF" w:rsidRDefault="00675EAF" w:rsidP="00B5139D">
      <w:pPr>
        <w:pStyle w:val="BodyTextGrey"/>
        <w:numPr>
          <w:ilvl w:val="1"/>
          <w:numId w:val="19"/>
        </w:numPr>
      </w:pPr>
      <w:r>
        <w:t xml:space="preserve">If this isn’t the case (i.e. if the guarantee continues to apply in respect of the former employer’s obligations post cessation), </w:t>
      </w:r>
      <w:r w:rsidRPr="00D21B3D">
        <w:t xml:space="preserve">cessation may be calculated using the </w:t>
      </w:r>
      <w:r>
        <w:t xml:space="preserve">same basis that was used to calculate liabilities (and the corresponding asset share) on joining the </w:t>
      </w:r>
      <w:r w:rsidR="00592111">
        <w:t>F</w:t>
      </w:r>
      <w:r>
        <w:t xml:space="preserve">und. </w:t>
      </w:r>
    </w:p>
    <w:p w14:paraId="697E641A" w14:textId="3165F1D7" w:rsidR="00053637" w:rsidRDefault="00DE65F1" w:rsidP="00053637">
      <w:pPr>
        <w:pStyle w:val="BodyTextGrey"/>
        <w:numPr>
          <w:ilvl w:val="4"/>
          <w:numId w:val="74"/>
        </w:numPr>
        <w:ind w:left="709" w:hanging="567"/>
      </w:pPr>
      <w:r>
        <w:t xml:space="preserve">Depending on the </w:t>
      </w:r>
      <w:r w:rsidR="00151C95" w:rsidRPr="00424C26">
        <w:t xml:space="preserve">guarantee, it may be possible to transfer the </w:t>
      </w:r>
      <w:r w:rsidR="00650BE2">
        <w:t xml:space="preserve">employer’s </w:t>
      </w:r>
      <w:r w:rsidR="00151C95" w:rsidRPr="00424C26">
        <w:t>liabilities and assets to the guarantor</w:t>
      </w:r>
      <w:r>
        <w:t xml:space="preserve"> </w:t>
      </w:r>
      <w:r w:rsidR="00151C95" w:rsidRPr="00424C26">
        <w:t xml:space="preserve">without </w:t>
      </w:r>
      <w:r>
        <w:t xml:space="preserve">crystallising </w:t>
      </w:r>
      <w:r w:rsidR="00151C95" w:rsidRPr="00D21B3D">
        <w:t>deficit</w:t>
      </w:r>
      <w:r w:rsidRPr="00D21B3D">
        <w:t>s</w:t>
      </w:r>
      <w:r w:rsidR="00151C95" w:rsidRPr="00D21B3D">
        <w:t xml:space="preserve"> or surplus. This</w:t>
      </w:r>
      <w:r w:rsidR="00151C95" w:rsidRPr="00424C26">
        <w:t xml:space="preserve"> </w:t>
      </w:r>
      <w:r>
        <w:t xml:space="preserve">may happen </w:t>
      </w:r>
      <w:r w:rsidR="007417E0">
        <w:t>if</w:t>
      </w:r>
      <w:r>
        <w:t xml:space="preserve"> </w:t>
      </w:r>
      <w:r w:rsidR="00DB50EC">
        <w:t>an</w:t>
      </w:r>
      <w:r>
        <w:t xml:space="preserve"> </w:t>
      </w:r>
      <w:r w:rsidR="00151C95" w:rsidRPr="00424C26">
        <w:t>employer can</w:t>
      </w:r>
      <w:r>
        <w:t xml:space="preserve">’t </w:t>
      </w:r>
      <w:r w:rsidR="00151C95" w:rsidRPr="00424C26">
        <w:t>pay the contributions due</w:t>
      </w:r>
      <w:r w:rsidR="00DB50EC">
        <w:t xml:space="preserve"> and the approach is </w:t>
      </w:r>
      <w:r w:rsidR="00151C95" w:rsidRPr="00424C26">
        <w:t xml:space="preserve">within </w:t>
      </w:r>
      <w:proofErr w:type="gramStart"/>
      <w:r w:rsidR="00DB50EC">
        <w:t>guarantee</w:t>
      </w:r>
      <w:proofErr w:type="gramEnd"/>
      <w:r w:rsidR="00151C95" w:rsidRPr="00424C26">
        <w:t xml:space="preserve"> terms</w:t>
      </w:r>
      <w:r w:rsidR="00DB50EC">
        <w:t xml:space="preserve">. </w:t>
      </w:r>
      <w:r w:rsidR="00053637" w:rsidRPr="00053637">
        <w:t xml:space="preserve"> </w:t>
      </w:r>
      <w:r w:rsidR="00053637">
        <w:t xml:space="preserve">This is known as ‘subsumption’ of the assets and liabilities. </w:t>
      </w:r>
    </w:p>
    <w:p w14:paraId="70AE8772" w14:textId="699A63C3" w:rsidR="00151C95" w:rsidRDefault="00151C95" w:rsidP="00151C95">
      <w:pPr>
        <w:pStyle w:val="BodyTextGrey"/>
      </w:pPr>
      <w:r>
        <w:t>I</w:t>
      </w:r>
      <w:r w:rsidR="00DB50EC">
        <w:t xml:space="preserve">f </w:t>
      </w:r>
      <w:r>
        <w:t xml:space="preserve">the </w:t>
      </w:r>
      <w:r w:rsidR="00592111">
        <w:t>F</w:t>
      </w:r>
      <w:r>
        <w:t xml:space="preserve">und </w:t>
      </w:r>
      <w:r w:rsidR="00DB50EC">
        <w:t xml:space="preserve">can’t </w:t>
      </w:r>
      <w:r>
        <w:t xml:space="preserve">recover the required payment in full, unpaid amounts </w:t>
      </w:r>
      <w:r w:rsidR="00DB50EC">
        <w:t xml:space="preserve">will be </w:t>
      </w:r>
      <w:r w:rsidR="007B749D">
        <w:t>paid by the related letting authority</w:t>
      </w:r>
      <w:r w:rsidR="004F6EDD">
        <w:t xml:space="preserve"> (</w:t>
      </w:r>
      <w:r w:rsidR="007B749D">
        <w:t>in the case of a ceased admission body</w:t>
      </w:r>
      <w:r w:rsidR="004F6EDD">
        <w:t xml:space="preserve">) </w:t>
      </w:r>
      <w:r w:rsidR="007B749D">
        <w:t xml:space="preserve">or </w:t>
      </w:r>
      <w:r>
        <w:t xml:space="preserve">shared </w:t>
      </w:r>
      <w:r w:rsidR="008C5A25">
        <w:t>between</w:t>
      </w:r>
      <w:r>
        <w:t xml:space="preserve"> the other </w:t>
      </w:r>
      <w:r w:rsidR="00592111">
        <w:t>F</w:t>
      </w:r>
      <w:r w:rsidR="00DB50EC">
        <w:t xml:space="preserve">und </w:t>
      </w:r>
      <w:r>
        <w:t>employers</w:t>
      </w:r>
      <w:r w:rsidR="00DB50EC">
        <w:t xml:space="preserve">. This may </w:t>
      </w:r>
      <w:r>
        <w:t xml:space="preserve">require an immediate revision to the </w:t>
      </w:r>
      <w:r w:rsidR="00592111">
        <w:t>R</w:t>
      </w:r>
      <w:r>
        <w:t xml:space="preserve">ates and </w:t>
      </w:r>
      <w:r w:rsidR="00592111">
        <w:t>A</w:t>
      </w:r>
      <w:r>
        <w:t xml:space="preserve">djustments </w:t>
      </w:r>
      <w:r w:rsidR="00ED7DD6">
        <w:t>c</w:t>
      </w:r>
      <w:r>
        <w:t>ertificate</w:t>
      </w:r>
      <w:r w:rsidR="00DB50EC">
        <w:t xml:space="preserve"> or be reflected </w:t>
      </w:r>
      <w:r>
        <w:t>in the contribution rates set at the next formal valuation</w:t>
      </w:r>
      <w:r w:rsidR="008C5A25">
        <w:t xml:space="preserve">. </w:t>
      </w:r>
    </w:p>
    <w:p w14:paraId="728F23B0" w14:textId="62BCC0A5" w:rsidR="00151C95" w:rsidRDefault="00151C95" w:rsidP="00151C95">
      <w:pPr>
        <w:pStyle w:val="BodyTextGrey"/>
      </w:pPr>
      <w:r w:rsidRPr="000046C6">
        <w:t xml:space="preserve">The </w:t>
      </w:r>
      <w:r w:rsidR="00592111">
        <w:t>F</w:t>
      </w:r>
      <w:r w:rsidRPr="000046C6">
        <w:t xml:space="preserve">und </w:t>
      </w:r>
      <w:r w:rsidR="00425A3F">
        <w:t>a</w:t>
      </w:r>
      <w:r w:rsidRPr="000046C6">
        <w:t>ctuary charges a fee for cessation valuation</w:t>
      </w:r>
      <w:r w:rsidR="0072638F">
        <w:t xml:space="preserve">s </w:t>
      </w:r>
      <w:r w:rsidR="0072638F" w:rsidRPr="004F5C25">
        <w:t>and t</w:t>
      </w:r>
      <w:r w:rsidR="002C04CF" w:rsidRPr="004F5C25">
        <w:t>here may b</w:t>
      </w:r>
      <w:r w:rsidR="00425A3F" w:rsidRPr="004F5C25">
        <w:t xml:space="preserve">e other </w:t>
      </w:r>
      <w:r w:rsidR="00BF0E0E" w:rsidRPr="004F5C25">
        <w:t xml:space="preserve">cessation </w:t>
      </w:r>
      <w:r w:rsidR="00425A3F" w:rsidRPr="004F5C25">
        <w:t>expenses</w:t>
      </w:r>
      <w:r w:rsidR="000D5C68" w:rsidRPr="004F5C25">
        <w:t xml:space="preserve">. </w:t>
      </w:r>
      <w:r w:rsidR="009125DD">
        <w:t>Fee</w:t>
      </w:r>
      <w:r w:rsidR="000D5C68">
        <w:t xml:space="preserve">s and expenses are at the </w:t>
      </w:r>
      <w:r w:rsidR="00BF0E0E">
        <w:t xml:space="preserve">employer’s </w:t>
      </w:r>
      <w:r w:rsidRPr="000046C6">
        <w:t xml:space="preserve">expense </w:t>
      </w:r>
      <w:r w:rsidR="00BF0E0E">
        <w:t xml:space="preserve">and </w:t>
      </w:r>
      <w:r w:rsidR="00740F51">
        <w:t xml:space="preserve">are </w:t>
      </w:r>
      <w:r w:rsidRPr="000046C6">
        <w:t>deducted from the cessation surplus or added to the cessation deficit</w:t>
      </w:r>
      <w:r w:rsidR="00E06DE1">
        <w:t>. This im</w:t>
      </w:r>
      <w:r w:rsidRPr="000046C6">
        <w:t xml:space="preserve">proves </w:t>
      </w:r>
      <w:r w:rsidR="00E06DE1">
        <w:t>efficiency</w:t>
      </w:r>
      <w:r w:rsidR="009125DD">
        <w:t xml:space="preserve"> by </w:t>
      </w:r>
      <w:r w:rsidR="00E06DE1">
        <w:t xml:space="preserve">reducing </w:t>
      </w:r>
      <w:r w:rsidRPr="000046C6">
        <w:t xml:space="preserve">transactions </w:t>
      </w:r>
      <w:r w:rsidR="00E06DE1">
        <w:t xml:space="preserve">between employer and </w:t>
      </w:r>
      <w:r w:rsidR="00AE066C">
        <w:t>F</w:t>
      </w:r>
      <w:r w:rsidR="00E06DE1">
        <w:t>und</w:t>
      </w:r>
      <w:r w:rsidR="00740F51">
        <w:t xml:space="preserve">. </w:t>
      </w:r>
      <w:r>
        <w:t xml:space="preserve"> </w:t>
      </w:r>
    </w:p>
    <w:p w14:paraId="1D8B5613" w14:textId="7207422D" w:rsidR="00151C95" w:rsidRDefault="006A3BCD" w:rsidP="00B5139D">
      <w:pPr>
        <w:pStyle w:val="Heading2Num"/>
        <w:numPr>
          <w:ilvl w:val="1"/>
          <w:numId w:val="1"/>
        </w:numPr>
      </w:pPr>
      <w:bookmarkStart w:id="80" w:name="_Toc86162862"/>
      <w:r>
        <w:lastRenderedPageBreak/>
        <w:t>W</w:t>
      </w:r>
      <w:r w:rsidR="00151C95">
        <w:t>hat happens if there is a surplus</w:t>
      </w:r>
      <w:r w:rsidR="00B74591">
        <w:t>?</w:t>
      </w:r>
      <w:bookmarkEnd w:id="80"/>
    </w:p>
    <w:p w14:paraId="542CD697" w14:textId="168060F2" w:rsidR="00151C95" w:rsidRDefault="00151C95" w:rsidP="00151C95">
      <w:pPr>
        <w:pStyle w:val="BodyTextGrey"/>
      </w:pPr>
      <w:r>
        <w:t>If the cessation valuation show</w:t>
      </w:r>
      <w:r w:rsidR="00B74591">
        <w:t xml:space="preserve">s the exiting </w:t>
      </w:r>
      <w:r>
        <w:t>employer has</w:t>
      </w:r>
      <w:r w:rsidR="00B74591">
        <w:t xml:space="preserve"> more </w:t>
      </w:r>
      <w:r>
        <w:t xml:space="preserve">assets </w:t>
      </w:r>
      <w:r w:rsidR="00B74591">
        <w:t xml:space="preserve">than </w:t>
      </w:r>
      <w:r>
        <w:t>liabilities</w:t>
      </w:r>
      <w:r w:rsidR="00B74591">
        <w:t xml:space="preserve"> – a</w:t>
      </w:r>
      <w:r w:rsidR="00647E6E">
        <w:t xml:space="preserve"> cessation surplus </w:t>
      </w:r>
      <w:r w:rsidR="00B74591">
        <w:t>– the a</w:t>
      </w:r>
      <w:r>
        <w:t xml:space="preserve">dministering </w:t>
      </w:r>
      <w:r w:rsidR="00B74591">
        <w:t>a</w:t>
      </w:r>
      <w:r>
        <w:t xml:space="preserve">uthority </w:t>
      </w:r>
      <w:r w:rsidR="00B74591">
        <w:t xml:space="preserve">can decide how </w:t>
      </w:r>
      <w:r>
        <w:t xml:space="preserve">much </w:t>
      </w:r>
      <w:r w:rsidR="00B74591">
        <w:t xml:space="preserve">will be </w:t>
      </w:r>
      <w:r>
        <w:t xml:space="preserve">paid back to the employer </w:t>
      </w:r>
      <w:r w:rsidR="00B74591">
        <w:t xml:space="preserve">based on: </w:t>
      </w:r>
    </w:p>
    <w:p w14:paraId="5731543B" w14:textId="61EDFEDD" w:rsidR="00151C95" w:rsidRDefault="00277E89" w:rsidP="00582B64">
      <w:pPr>
        <w:pStyle w:val="BodyTextGrey"/>
        <w:numPr>
          <w:ilvl w:val="0"/>
          <w:numId w:val="21"/>
        </w:numPr>
      </w:pPr>
      <w:r>
        <w:t xml:space="preserve">the </w:t>
      </w:r>
      <w:r w:rsidR="00151C95">
        <w:t>surplus</w:t>
      </w:r>
      <w:r w:rsidR="00B74591">
        <w:t xml:space="preserve"> amount </w:t>
      </w:r>
    </w:p>
    <w:p w14:paraId="1A7936D9" w14:textId="4882A183" w:rsidR="00151C95" w:rsidRDefault="00277E89" w:rsidP="00582B64">
      <w:pPr>
        <w:pStyle w:val="BodyTextGrey"/>
        <w:numPr>
          <w:ilvl w:val="0"/>
          <w:numId w:val="21"/>
        </w:numPr>
      </w:pPr>
      <w:bookmarkStart w:id="81" w:name="_Hlk195611434"/>
      <w:r>
        <w:t xml:space="preserve">the </w:t>
      </w:r>
      <w:r w:rsidR="00151C95">
        <w:t xml:space="preserve">proportion of the surplus </w:t>
      </w:r>
      <w:r w:rsidR="00B74591">
        <w:t xml:space="preserve">due to </w:t>
      </w:r>
      <w:r w:rsidR="00151C95">
        <w:t xml:space="preserve">the </w:t>
      </w:r>
      <w:r w:rsidR="00C74C4D">
        <w:t xml:space="preserve">value of the </w:t>
      </w:r>
      <w:r w:rsidR="00151C95">
        <w:t>employer’s contributions</w:t>
      </w:r>
    </w:p>
    <w:p w14:paraId="3739ED63" w14:textId="5C1252E6" w:rsidR="00151C95" w:rsidRDefault="00AF652D" w:rsidP="00582B64">
      <w:pPr>
        <w:pStyle w:val="BodyTextGrey"/>
        <w:numPr>
          <w:ilvl w:val="0"/>
          <w:numId w:val="21"/>
        </w:numPr>
      </w:pPr>
      <w:r>
        <w:t xml:space="preserve">any </w:t>
      </w:r>
      <w:r w:rsidR="00151C95">
        <w:t>representations (</w:t>
      </w:r>
      <w:r w:rsidR="00B74591">
        <w:t>like r</w:t>
      </w:r>
      <w:r w:rsidR="00151C95">
        <w:t>isk sharing agreements or guarantees) made by the exiting employer and any employer providing a guarantee or some other form of employer assistance/support</w:t>
      </w:r>
    </w:p>
    <w:p w14:paraId="31132D2B" w14:textId="5FFA6A5B" w:rsidR="00151C95" w:rsidRDefault="00C630CC" w:rsidP="00151C95">
      <w:pPr>
        <w:pStyle w:val="BodyTextGrey"/>
        <w:numPr>
          <w:ilvl w:val="0"/>
          <w:numId w:val="21"/>
        </w:numPr>
      </w:pPr>
      <w:r>
        <w:t>a</w:t>
      </w:r>
      <w:r w:rsidR="00151C95">
        <w:t xml:space="preserve">ny other </w:t>
      </w:r>
      <w:r w:rsidR="00B74591">
        <w:t>relevant f</w:t>
      </w:r>
      <w:r w:rsidR="00151C95">
        <w:t xml:space="preserve">actors. </w:t>
      </w:r>
    </w:p>
    <w:p w14:paraId="2C698CAE" w14:textId="3D6D7A3B" w:rsidR="00151C95" w:rsidRDefault="00C65137" w:rsidP="00B5139D">
      <w:pPr>
        <w:pStyle w:val="Heading2Num"/>
        <w:numPr>
          <w:ilvl w:val="1"/>
          <w:numId w:val="1"/>
        </w:numPr>
      </w:pPr>
      <w:bookmarkStart w:id="82" w:name="_Toc86162863"/>
      <w:r>
        <w:t xml:space="preserve">How do employers repay </w:t>
      </w:r>
      <w:r w:rsidR="00151C95">
        <w:t>cessation debt</w:t>
      </w:r>
      <w:bookmarkEnd w:id="82"/>
      <w:r>
        <w:t xml:space="preserve">s? </w:t>
      </w:r>
    </w:p>
    <w:p w14:paraId="7E53ECA0" w14:textId="72866265" w:rsidR="00151C95" w:rsidRDefault="00F843E2" w:rsidP="00151C95">
      <w:pPr>
        <w:pStyle w:val="BodyTextGrey"/>
      </w:pPr>
      <w:r>
        <w:t>I</w:t>
      </w:r>
      <w:r w:rsidR="00674D15">
        <w:t>f there is a deficit</w:t>
      </w:r>
      <w:r w:rsidR="00584CB3">
        <w:t xml:space="preserve">, </w:t>
      </w:r>
      <w:r w:rsidR="006959D0">
        <w:t xml:space="preserve">full </w:t>
      </w:r>
      <w:r w:rsidR="00674D15">
        <w:t xml:space="preserve">payment will </w:t>
      </w:r>
      <w:r w:rsidR="00277E89">
        <w:t xml:space="preserve">usually </w:t>
      </w:r>
      <w:r w:rsidR="00151C95">
        <w:t xml:space="preserve">be </w:t>
      </w:r>
      <w:r w:rsidR="00584CB3">
        <w:t xml:space="preserve">expected </w:t>
      </w:r>
      <w:r>
        <w:t>in a single lump sum</w:t>
      </w:r>
      <w:r w:rsidR="00C630CC">
        <w:t xml:space="preserve"> or: </w:t>
      </w:r>
      <w:r w:rsidR="00FE6CBA">
        <w:t xml:space="preserve"> </w:t>
      </w:r>
    </w:p>
    <w:p w14:paraId="74A9A9D0" w14:textId="11B27364" w:rsidR="00151C95" w:rsidRDefault="00734D49" w:rsidP="00650C4C">
      <w:pPr>
        <w:pStyle w:val="BodyTextGrey"/>
        <w:numPr>
          <w:ilvl w:val="0"/>
          <w:numId w:val="36"/>
        </w:numPr>
      </w:pPr>
      <w:r>
        <w:t xml:space="preserve">spread over an agreed period, if the </w:t>
      </w:r>
      <w:r w:rsidR="00151C95">
        <w:t>employer enters into a deferred spreading agreement</w:t>
      </w:r>
    </w:p>
    <w:p w14:paraId="2BE47BC9" w14:textId="5C5D8D80" w:rsidR="00151C95" w:rsidRDefault="00C630CC" w:rsidP="00650C4C">
      <w:pPr>
        <w:pStyle w:val="BodyTextGrey"/>
        <w:numPr>
          <w:ilvl w:val="0"/>
          <w:numId w:val="36"/>
        </w:numPr>
      </w:pPr>
      <w:r>
        <w:t xml:space="preserve">if </w:t>
      </w:r>
      <w:r w:rsidR="00151C95">
        <w:t xml:space="preserve">an </w:t>
      </w:r>
      <w:proofErr w:type="spellStart"/>
      <w:r w:rsidR="00151C95">
        <w:t>e</w:t>
      </w:r>
      <w:r w:rsidR="00650C4C">
        <w:t>xiting</w:t>
      </w:r>
      <w:proofErr w:type="spellEnd"/>
      <w:r w:rsidR="00650C4C">
        <w:t xml:space="preserve"> e</w:t>
      </w:r>
      <w:r w:rsidR="00151C95">
        <w:t>mployer enters into a deferred debt agreement</w:t>
      </w:r>
      <w:r>
        <w:t xml:space="preserve">, </w:t>
      </w:r>
      <w:r w:rsidR="00566863">
        <w:t xml:space="preserve">it </w:t>
      </w:r>
      <w:r w:rsidR="00650C4C">
        <w:t>stays</w:t>
      </w:r>
      <w:r w:rsidR="00151C95">
        <w:t xml:space="preserve"> in the </w:t>
      </w:r>
      <w:r w:rsidR="009875C5">
        <w:t>F</w:t>
      </w:r>
      <w:r w:rsidR="00151C95">
        <w:t>und</w:t>
      </w:r>
      <w:r>
        <w:t xml:space="preserve"> and pays </w:t>
      </w:r>
      <w:r w:rsidR="00151C95">
        <w:t xml:space="preserve">contributions </w:t>
      </w:r>
      <w:r w:rsidR="00566863">
        <w:t xml:space="preserve">until the cessation debt is repaid. Payments are </w:t>
      </w:r>
      <w:r w:rsidR="00151C95">
        <w:t>reassessed at each formal valuation</w:t>
      </w:r>
      <w:r w:rsidR="00566863">
        <w:t xml:space="preserve">. </w:t>
      </w:r>
      <w:r w:rsidR="00151C95">
        <w:t xml:space="preserve"> </w:t>
      </w:r>
    </w:p>
    <w:p w14:paraId="4465F940" w14:textId="01B816CE" w:rsidR="00151C95" w:rsidRPr="00A73DE9" w:rsidRDefault="00C65137" w:rsidP="00B5139D">
      <w:pPr>
        <w:pStyle w:val="Heading2Num"/>
        <w:numPr>
          <w:ilvl w:val="1"/>
          <w:numId w:val="1"/>
        </w:numPr>
      </w:pPr>
      <w:bookmarkStart w:id="83" w:name="_Toc16078810"/>
      <w:bookmarkStart w:id="84" w:name="_Toc86162864"/>
      <w:bookmarkStart w:id="85" w:name="EmployersWithNoRemainingActiveMembers3_9"/>
      <w:r>
        <w:t xml:space="preserve">What if an employer has no </w:t>
      </w:r>
      <w:r w:rsidR="00151C95" w:rsidRPr="00A73DE9">
        <w:t>active members</w:t>
      </w:r>
      <w:bookmarkEnd w:id="83"/>
      <w:bookmarkEnd w:id="84"/>
      <w:r w:rsidR="004B31D2">
        <w:t xml:space="preserve">? </w:t>
      </w:r>
    </w:p>
    <w:bookmarkEnd w:id="85"/>
    <w:p w14:paraId="1717E0B2" w14:textId="79C1A47C" w:rsidR="00151C95" w:rsidRDefault="00107A22" w:rsidP="00151C95">
      <w:pPr>
        <w:pStyle w:val="BodyTextGrey"/>
      </w:pPr>
      <w:r>
        <w:t xml:space="preserve">When employers leave the </w:t>
      </w:r>
      <w:r w:rsidR="008C15C2">
        <w:t>F</w:t>
      </w:r>
      <w:r>
        <w:t xml:space="preserve">und because their last active member has left, they may pay a cessation debt, </w:t>
      </w:r>
      <w:r w:rsidRPr="00575F3B">
        <w:t>receive an exit credit</w:t>
      </w:r>
      <w:r>
        <w:t xml:space="preserve"> or enter a DDA/DSA. Beyond this they have no further obligation to the </w:t>
      </w:r>
      <w:r w:rsidR="008C15C2">
        <w:t>F</w:t>
      </w:r>
      <w:r>
        <w:t>und and either:</w:t>
      </w:r>
      <w:r w:rsidR="005D1020">
        <w:t xml:space="preserve"> </w:t>
      </w:r>
      <w:r w:rsidR="00FB6C61">
        <w:t xml:space="preserve"> </w:t>
      </w:r>
    </w:p>
    <w:p w14:paraId="0A13DB58" w14:textId="3C0589AD" w:rsidR="00151C95" w:rsidRDefault="001218C0" w:rsidP="00582B64">
      <w:pPr>
        <w:pStyle w:val="BodyTextGrey"/>
        <w:numPr>
          <w:ilvl w:val="0"/>
          <w:numId w:val="22"/>
        </w:numPr>
        <w:ind w:left="567" w:hanging="567"/>
      </w:pPr>
      <w:r>
        <w:t>the</w:t>
      </w:r>
      <w:r w:rsidR="00FE6CBA">
        <w:t xml:space="preserve">ir </w:t>
      </w:r>
      <w:r w:rsidR="00151C95">
        <w:t xml:space="preserve">asset share runs out before all ex-employees’ benefits have been paid. </w:t>
      </w:r>
      <w:r w:rsidR="00FB6C61">
        <w:t xml:space="preserve">The other </w:t>
      </w:r>
      <w:r w:rsidR="00633BB5">
        <w:t>F</w:t>
      </w:r>
      <w:r w:rsidR="00FB6C61">
        <w:t xml:space="preserve">und employers will </w:t>
      </w:r>
      <w:r w:rsidR="00151C95">
        <w:t xml:space="preserve">be required to contribute to </w:t>
      </w:r>
      <w:r w:rsidR="00E1292C">
        <w:t xml:space="preserve">the </w:t>
      </w:r>
      <w:r w:rsidR="00151C95">
        <w:t>remaining benefits</w:t>
      </w:r>
      <w:r w:rsidR="00FB6C61">
        <w:t xml:space="preserve">. </w:t>
      </w:r>
      <w:r w:rsidR="009212CE" w:rsidRPr="009212CE">
        <w:t>The Fund Actuary will portion the liabilities on a pro-rata basis at the formal valuation</w:t>
      </w:r>
      <w:r w:rsidR="009212CE">
        <w:t>.</w:t>
      </w:r>
      <w:r w:rsidR="009212CE" w:rsidRPr="009212CE" w:rsidDel="009212CE">
        <w:t xml:space="preserve"> </w:t>
      </w:r>
    </w:p>
    <w:p w14:paraId="36D267CE" w14:textId="594FFABC" w:rsidR="00151C95" w:rsidRDefault="00FE6CBA" w:rsidP="00582B64">
      <w:pPr>
        <w:pStyle w:val="BodyTextGrey"/>
        <w:numPr>
          <w:ilvl w:val="0"/>
          <w:numId w:val="22"/>
        </w:numPr>
        <w:ind w:left="567" w:hanging="567"/>
      </w:pPr>
      <w:r>
        <w:t>t</w:t>
      </w:r>
      <w:r w:rsidR="00151C95">
        <w:t xml:space="preserve">he last ex-employee or dependant dies before the employer’s asset share </w:t>
      </w:r>
      <w:r w:rsidR="00CD0ABF">
        <w:t xml:space="preserve">is </w:t>
      </w:r>
      <w:r w:rsidR="00151C95">
        <w:t xml:space="preserve">fully </w:t>
      </w:r>
      <w:r w:rsidR="00CD0ABF">
        <w:t>run down</w:t>
      </w:r>
      <w:r w:rsidR="00151C95">
        <w:t>.</w:t>
      </w:r>
      <w:r w:rsidR="00F4456F">
        <w:t xml:space="preserve"> </w:t>
      </w:r>
      <w:r w:rsidR="005C4490" w:rsidRPr="005C4490">
        <w:t>The Fund Actuary will apportion the remaining assets to the other Fund employers on a pro-rata basis at the formal valuation</w:t>
      </w:r>
      <w:r w:rsidR="005C4490">
        <w:t>.</w:t>
      </w:r>
    </w:p>
    <w:p w14:paraId="54C56490" w14:textId="2E904960" w:rsidR="00151C95" w:rsidRPr="00424C77" w:rsidRDefault="004B31D2" w:rsidP="00AD78F8">
      <w:pPr>
        <w:pStyle w:val="Heading1Num"/>
        <w:numPr>
          <w:ilvl w:val="0"/>
          <w:numId w:val="1"/>
        </w:numPr>
      </w:pPr>
      <w:bookmarkStart w:id="86" w:name="_Toc112068182"/>
      <w:bookmarkStart w:id="87" w:name="_Toc16078818"/>
      <w:bookmarkStart w:id="88" w:name="_Toc75445242"/>
      <w:bookmarkStart w:id="89" w:name="_Toc86162866"/>
      <w:bookmarkEnd w:id="81"/>
      <w:r>
        <w:t>What are the s</w:t>
      </w:r>
      <w:r w:rsidR="00151C95" w:rsidRPr="00424C77">
        <w:t xml:space="preserve">tatutory reporting </w:t>
      </w:r>
      <w:r>
        <w:t>requirements?</w:t>
      </w:r>
      <w:bookmarkEnd w:id="86"/>
      <w:r>
        <w:t xml:space="preserve"> </w:t>
      </w:r>
      <w:bookmarkEnd w:id="87"/>
      <w:bookmarkEnd w:id="88"/>
      <w:bookmarkEnd w:id="89"/>
    </w:p>
    <w:p w14:paraId="33AFD1F6" w14:textId="0434D37D" w:rsidR="00151C95" w:rsidRPr="00424C77" w:rsidRDefault="00F14EB3" w:rsidP="00AD78F8">
      <w:pPr>
        <w:pStyle w:val="Heading2Num"/>
        <w:numPr>
          <w:ilvl w:val="1"/>
          <w:numId w:val="1"/>
        </w:numPr>
      </w:pPr>
      <w:r>
        <w:t xml:space="preserve">Reporting regulations </w:t>
      </w:r>
    </w:p>
    <w:p w14:paraId="138DB3F2" w14:textId="172F24B4" w:rsidR="001B1325" w:rsidRDefault="00EB25DF" w:rsidP="001B1325">
      <w:pPr>
        <w:pStyle w:val="BodyTextGrey"/>
      </w:pPr>
      <w:r>
        <w:t xml:space="preserve">The Public Service Pensions Act 2013 requires the </w:t>
      </w:r>
      <w:r w:rsidR="00151C95">
        <w:t>Government Actuar</w:t>
      </w:r>
      <w:r>
        <w:t>y</w:t>
      </w:r>
      <w:r w:rsidR="0043584A">
        <w:t>’s</w:t>
      </w:r>
      <w:r w:rsidR="00151C95">
        <w:t xml:space="preserve"> Department </w:t>
      </w:r>
      <w:r>
        <w:t xml:space="preserve">to report on </w:t>
      </w:r>
      <w:r w:rsidR="004109D2">
        <w:t xml:space="preserve">LGPS funds in England and Wales after every three-year </w:t>
      </w:r>
      <w:r w:rsidR="00151C95">
        <w:t>valuation</w:t>
      </w:r>
      <w:r w:rsidR="00947AEA">
        <w:t>, in what’s usually called a section 13 report. The report include</w:t>
      </w:r>
      <w:r w:rsidR="000B64C4">
        <w:t>s</w:t>
      </w:r>
      <w:r w:rsidR="00947AEA">
        <w:t xml:space="preserve"> </w:t>
      </w:r>
      <w:r w:rsidR="000D2F03">
        <w:t xml:space="preserve">advice on </w:t>
      </w:r>
      <w:r w:rsidR="006163A2">
        <w:t xml:space="preserve">whether </w:t>
      </w:r>
      <w:r w:rsidR="001B1325">
        <w:t>the following aims are achieved:</w:t>
      </w:r>
    </w:p>
    <w:p w14:paraId="466AE351" w14:textId="77777777" w:rsidR="001B1325" w:rsidRDefault="001B1325" w:rsidP="001B1325">
      <w:pPr>
        <w:pStyle w:val="BodyTextGrey"/>
      </w:pPr>
      <w:r>
        <w:t>•</w:t>
      </w:r>
      <w:r>
        <w:tab/>
        <w:t>Compliance</w:t>
      </w:r>
    </w:p>
    <w:p w14:paraId="0D9F794A" w14:textId="77777777" w:rsidR="001B1325" w:rsidRDefault="001B1325" w:rsidP="001B1325">
      <w:pPr>
        <w:pStyle w:val="BodyTextGrey"/>
      </w:pPr>
      <w:r>
        <w:t>•</w:t>
      </w:r>
      <w:r>
        <w:tab/>
        <w:t>Consistency</w:t>
      </w:r>
    </w:p>
    <w:p w14:paraId="39FCBDB6" w14:textId="2B59965F" w:rsidR="001B1325" w:rsidRDefault="001B1325" w:rsidP="001B1325">
      <w:pPr>
        <w:pStyle w:val="BodyTextGrey"/>
      </w:pPr>
      <w:r>
        <w:t>•</w:t>
      </w:r>
      <w:r>
        <w:tab/>
        <w:t>Solvenc</w:t>
      </w:r>
      <w:r w:rsidR="005B42ED">
        <w:t>y</w:t>
      </w:r>
    </w:p>
    <w:p w14:paraId="3006C0F1" w14:textId="77777777" w:rsidR="001B1325" w:rsidRDefault="001B1325" w:rsidP="001B1325">
      <w:pPr>
        <w:pStyle w:val="BodyTextGrey"/>
      </w:pPr>
      <w:r>
        <w:t>•</w:t>
      </w:r>
      <w:r>
        <w:tab/>
        <w:t>Long term cost efficiency</w:t>
      </w:r>
    </w:p>
    <w:p w14:paraId="2F4D0F6D" w14:textId="77777777" w:rsidR="00151C95" w:rsidRPr="00A73DE9" w:rsidRDefault="00151C95" w:rsidP="00AD78F8">
      <w:pPr>
        <w:pStyle w:val="Heading2Num"/>
        <w:numPr>
          <w:ilvl w:val="1"/>
          <w:numId w:val="1"/>
        </w:numPr>
      </w:pPr>
      <w:bookmarkStart w:id="90" w:name="_Toc16078820"/>
      <w:bookmarkStart w:id="91" w:name="_Toc86162868"/>
      <w:r w:rsidRPr="00A73DE9">
        <w:t>Solvency</w:t>
      </w:r>
      <w:bookmarkEnd w:id="90"/>
      <w:bookmarkEnd w:id="91"/>
    </w:p>
    <w:p w14:paraId="00E10466" w14:textId="5C9D8232" w:rsidR="00151C95" w:rsidRDefault="002C6B8C" w:rsidP="007F397F">
      <w:pPr>
        <w:pStyle w:val="BodyTextGrey"/>
      </w:pPr>
      <w:r>
        <w:t xml:space="preserve">Employer </w:t>
      </w:r>
      <w:r w:rsidR="00151C95">
        <w:t xml:space="preserve">contributions </w:t>
      </w:r>
      <w:r>
        <w:t xml:space="preserve">are set at an </w:t>
      </w:r>
      <w:r w:rsidR="00151C95">
        <w:t xml:space="preserve">appropriate </w:t>
      </w:r>
      <w:r w:rsidR="00B22F3B">
        <w:t xml:space="preserve">solvency </w:t>
      </w:r>
      <w:r w:rsidR="00151C95">
        <w:t xml:space="preserve">level </w:t>
      </w:r>
      <w:r w:rsidR="00C65950">
        <w:t>if</w:t>
      </w:r>
      <w:r w:rsidR="007F397F">
        <w:t xml:space="preserve"> </w:t>
      </w:r>
      <w:r w:rsidR="00151C95">
        <w:t>the rate of contribution target</w:t>
      </w:r>
      <w:r>
        <w:t>s</w:t>
      </w:r>
      <w:r w:rsidR="00151C95">
        <w:t xml:space="preserve"> a funding level </w:t>
      </w:r>
      <w:r>
        <w:t>o</w:t>
      </w:r>
      <w:r w:rsidR="00151C95">
        <w:t>f 100% over an appropriate time</w:t>
      </w:r>
      <w:r w:rsidR="008651A4">
        <w:t xml:space="preserve">, </w:t>
      </w:r>
      <w:r w:rsidR="00151C95">
        <w:t xml:space="preserve">using appropriate assumptions </w:t>
      </w:r>
      <w:r w:rsidR="007F397F">
        <w:t xml:space="preserve">compared to </w:t>
      </w:r>
      <w:r w:rsidR="00151C95">
        <w:t>other funds</w:t>
      </w:r>
      <w:r w:rsidR="00C65950">
        <w:t xml:space="preserve">. </w:t>
      </w:r>
      <w:r w:rsidR="002F7AA5">
        <w:t xml:space="preserve">Either: </w:t>
      </w:r>
      <w:r w:rsidR="00151C95">
        <w:t xml:space="preserve"> </w:t>
      </w:r>
    </w:p>
    <w:p w14:paraId="5096CCB6" w14:textId="2DAF95C4" w:rsidR="00E762F7" w:rsidRDefault="00151C95" w:rsidP="00582B64">
      <w:pPr>
        <w:pStyle w:val="BodyTextGrey"/>
        <w:numPr>
          <w:ilvl w:val="0"/>
          <w:numId w:val="24"/>
        </w:numPr>
      </w:pPr>
      <w:r>
        <w:t xml:space="preserve">employers collectively </w:t>
      </w:r>
      <w:r w:rsidR="002F7AA5">
        <w:t xml:space="preserve">can </w:t>
      </w:r>
      <w:r>
        <w:t xml:space="preserve">increase </w:t>
      </w:r>
      <w:r w:rsidR="007F397F">
        <w:t xml:space="preserve">their </w:t>
      </w:r>
      <w:r>
        <w:t>contributions</w:t>
      </w:r>
      <w:r w:rsidR="002F7AA5">
        <w:t xml:space="preserve">, </w:t>
      </w:r>
      <w:r w:rsidR="007F397F">
        <w:t xml:space="preserve">or the </w:t>
      </w:r>
      <w:r w:rsidR="007F1626">
        <w:t>F</w:t>
      </w:r>
      <w:r w:rsidR="007F397F">
        <w:t xml:space="preserve">und can </w:t>
      </w:r>
      <w:r>
        <w:t xml:space="preserve">realise </w:t>
      </w:r>
      <w:r w:rsidR="007F397F">
        <w:t>conti</w:t>
      </w:r>
      <w:r w:rsidR="00E762F7">
        <w:t xml:space="preserve">ngencies to </w:t>
      </w:r>
      <w:r>
        <w:t xml:space="preserve">target a </w:t>
      </w:r>
      <w:r w:rsidR="00E762F7">
        <w:t xml:space="preserve">100% </w:t>
      </w:r>
      <w:r>
        <w:t>funding level</w:t>
      </w:r>
    </w:p>
    <w:p w14:paraId="53727C5E" w14:textId="2BDD7C35" w:rsidR="00151C95" w:rsidRDefault="00151C95" w:rsidP="00E762F7">
      <w:pPr>
        <w:pStyle w:val="BodyTextGrey"/>
        <w:ind w:left="567"/>
      </w:pPr>
      <w:r>
        <w:lastRenderedPageBreak/>
        <w:t>or</w:t>
      </w:r>
    </w:p>
    <w:p w14:paraId="6A1A0EA5" w14:textId="21989168" w:rsidR="00151C95" w:rsidRDefault="00151C95" w:rsidP="00582B64">
      <w:pPr>
        <w:pStyle w:val="BulletHymans"/>
        <w:numPr>
          <w:ilvl w:val="0"/>
          <w:numId w:val="24"/>
        </w:numPr>
      </w:pPr>
      <w:r>
        <w:t xml:space="preserve">there is an appropriate plan in place </w:t>
      </w:r>
      <w:r w:rsidR="00E762F7">
        <w:t xml:space="preserve">if there is, or is expected to be, a </w:t>
      </w:r>
      <w:r>
        <w:t xml:space="preserve">reduction in </w:t>
      </w:r>
      <w:r w:rsidR="00E762F7">
        <w:t xml:space="preserve">employers’ ability to </w:t>
      </w:r>
      <w:r>
        <w:t>increase contributions as needed.</w:t>
      </w:r>
      <w:r w:rsidR="00F4456F">
        <w:t xml:space="preserve"> </w:t>
      </w:r>
    </w:p>
    <w:p w14:paraId="04B0B5D9" w14:textId="28276257" w:rsidR="00151C95" w:rsidRPr="00424C77" w:rsidRDefault="00151C95" w:rsidP="00AD78F8">
      <w:pPr>
        <w:pStyle w:val="Heading2Num"/>
        <w:numPr>
          <w:ilvl w:val="1"/>
          <w:numId w:val="1"/>
        </w:numPr>
      </w:pPr>
      <w:bookmarkStart w:id="92" w:name="_Toc16078821"/>
      <w:bookmarkStart w:id="93" w:name="_Toc86162869"/>
      <w:r w:rsidRPr="00424C77">
        <w:t>Long</w:t>
      </w:r>
      <w:r w:rsidR="00E762F7" w:rsidRPr="00424C77">
        <w:t>-t</w:t>
      </w:r>
      <w:r w:rsidRPr="00424C77">
        <w:t xml:space="preserve">erm </w:t>
      </w:r>
      <w:r w:rsidR="00E762F7" w:rsidRPr="00424C77">
        <w:t>c</w:t>
      </w:r>
      <w:r w:rsidRPr="00424C77">
        <w:t xml:space="preserve">ost </w:t>
      </w:r>
      <w:r w:rsidR="00E762F7" w:rsidRPr="00424C77">
        <w:t>e</w:t>
      </w:r>
      <w:r w:rsidRPr="00424C77">
        <w:t>fficiency</w:t>
      </w:r>
      <w:bookmarkEnd w:id="92"/>
      <w:bookmarkEnd w:id="93"/>
    </w:p>
    <w:p w14:paraId="551B3D27" w14:textId="14D7C1A8" w:rsidR="00151C95" w:rsidRDefault="00E762F7" w:rsidP="00E762F7">
      <w:pPr>
        <w:pStyle w:val="BodyTextGrey"/>
      </w:pPr>
      <w:r>
        <w:t>E</w:t>
      </w:r>
      <w:r w:rsidR="00151C95">
        <w:t xml:space="preserve">mployer contributions </w:t>
      </w:r>
      <w:r>
        <w:t xml:space="preserve">are </w:t>
      </w:r>
      <w:r w:rsidR="00151C95">
        <w:t xml:space="preserve">set at an appropriate </w:t>
      </w:r>
      <w:r w:rsidR="00B22F3B">
        <w:t xml:space="preserve">long-term cost efficiency </w:t>
      </w:r>
      <w:r w:rsidR="00151C95">
        <w:t>level if</w:t>
      </w:r>
      <w:r>
        <w:t xml:space="preserve"> </w:t>
      </w:r>
      <w:r w:rsidR="00151C95">
        <w:t xml:space="preserve">the </w:t>
      </w:r>
      <w:r>
        <w:t xml:space="preserve">contribution rate </w:t>
      </w:r>
      <w:r w:rsidR="00151C95">
        <w:t>make</w:t>
      </w:r>
      <w:r w:rsidR="00B22F3B">
        <w:t>s</w:t>
      </w:r>
      <w:r w:rsidR="00151C95">
        <w:t xml:space="preserve"> provision for the cost of current benefit accrual,</w:t>
      </w:r>
      <w:r>
        <w:t xml:space="preserve"> </w:t>
      </w:r>
      <w:r w:rsidR="00151C95">
        <w:t>with an appropriate adjustment for any surplus or deficit</w:t>
      </w:r>
      <w:r>
        <w:t xml:space="preserve">. </w:t>
      </w:r>
    </w:p>
    <w:p w14:paraId="7814E218" w14:textId="0566BE38" w:rsidR="00852C18" w:rsidRDefault="00E762F7" w:rsidP="00151C95">
      <w:pPr>
        <w:pStyle w:val="BodyTextGrey"/>
      </w:pPr>
      <w:r>
        <w:t xml:space="preserve">To assess </w:t>
      </w:r>
      <w:r w:rsidR="00D322AF">
        <w:t xml:space="preserve">this, </w:t>
      </w:r>
      <w:r>
        <w:t>the administering authority may consider absol</w:t>
      </w:r>
      <w:r w:rsidR="00151C95" w:rsidRPr="008F19B7">
        <w:t xml:space="preserve">ute and relative </w:t>
      </w:r>
      <w:r>
        <w:t xml:space="preserve">factors. </w:t>
      </w:r>
    </w:p>
    <w:p w14:paraId="27D8171A" w14:textId="3019354A" w:rsidR="00151C95" w:rsidRDefault="00151C95" w:rsidP="00151C95">
      <w:pPr>
        <w:pStyle w:val="BodyTextGrey"/>
      </w:pPr>
      <w:r w:rsidRPr="008F19B7">
        <w:t xml:space="preserve">Relative </w:t>
      </w:r>
      <w:r w:rsidR="00852C18">
        <w:t>factors</w:t>
      </w:r>
      <w:r w:rsidRPr="008F19B7">
        <w:t xml:space="preserve"> include:</w:t>
      </w:r>
    </w:p>
    <w:p w14:paraId="2112D5E8" w14:textId="67E8BDDB" w:rsidR="00852C18" w:rsidRPr="008F19B7" w:rsidRDefault="00A7750D" w:rsidP="00582B64">
      <w:pPr>
        <w:pStyle w:val="BodyTextGrey"/>
        <w:numPr>
          <w:ilvl w:val="0"/>
          <w:numId w:val="25"/>
        </w:numPr>
      </w:pPr>
      <w:r>
        <w:t>c</w:t>
      </w:r>
      <w:r w:rsidR="00852C18">
        <w:t xml:space="preserve">omparing LGPS funds with each other </w:t>
      </w:r>
    </w:p>
    <w:p w14:paraId="27FAF5A5" w14:textId="64CBF7E4" w:rsidR="00151C95" w:rsidRPr="008F19B7" w:rsidRDefault="00151C95" w:rsidP="00582B64">
      <w:pPr>
        <w:pStyle w:val="BulletHymans"/>
        <w:numPr>
          <w:ilvl w:val="0"/>
          <w:numId w:val="25"/>
        </w:numPr>
      </w:pPr>
      <w:r w:rsidRPr="008F19B7">
        <w:t>the implied deficit recovery period</w:t>
      </w:r>
    </w:p>
    <w:p w14:paraId="61AE936E" w14:textId="77777777" w:rsidR="00151C95" w:rsidRPr="008F19B7" w:rsidRDefault="00151C95" w:rsidP="00582B64">
      <w:pPr>
        <w:pStyle w:val="BulletHymans"/>
        <w:numPr>
          <w:ilvl w:val="0"/>
          <w:numId w:val="25"/>
        </w:numPr>
      </w:pPr>
      <w:r w:rsidRPr="008F19B7">
        <w:t xml:space="preserve">the investment return required to achieve full funding after 20 years. </w:t>
      </w:r>
    </w:p>
    <w:p w14:paraId="015AD0A9" w14:textId="084BD26B" w:rsidR="00151C95" w:rsidRPr="00434C58" w:rsidRDefault="00151C95" w:rsidP="00151C95">
      <w:pPr>
        <w:pStyle w:val="BodyTextGrey"/>
        <w:rPr>
          <w:color w:val="4B4B4B"/>
        </w:rPr>
      </w:pPr>
      <w:r>
        <w:t xml:space="preserve">Absolute </w:t>
      </w:r>
      <w:r w:rsidR="00852C18">
        <w:t>factors</w:t>
      </w:r>
      <w:r>
        <w:t xml:space="preserve"> include:</w:t>
      </w:r>
    </w:p>
    <w:p w14:paraId="7A0D80E0" w14:textId="0FA69FD7" w:rsidR="00852C18" w:rsidRDefault="00852C18" w:rsidP="00582B64">
      <w:pPr>
        <w:pStyle w:val="BulletHymans"/>
        <w:numPr>
          <w:ilvl w:val="0"/>
          <w:numId w:val="26"/>
        </w:numPr>
      </w:pPr>
      <w:r>
        <w:t xml:space="preserve">comparing funds with an objective benchmark </w:t>
      </w:r>
    </w:p>
    <w:p w14:paraId="140393E0" w14:textId="255D9448" w:rsidR="00151C95" w:rsidRDefault="00151C95" w:rsidP="00582B64">
      <w:pPr>
        <w:pStyle w:val="BulletHymans"/>
        <w:numPr>
          <w:ilvl w:val="0"/>
          <w:numId w:val="26"/>
        </w:numPr>
      </w:pPr>
      <w:r>
        <w:t xml:space="preserve">the extent to which contributions </w:t>
      </w:r>
      <w:r w:rsidR="00852C18">
        <w:t xml:space="preserve">will </w:t>
      </w:r>
      <w:r>
        <w:t>cover the cost of current benefit accrual and interest on any deficit</w:t>
      </w:r>
    </w:p>
    <w:p w14:paraId="684CBFDB" w14:textId="66294B9C" w:rsidR="00151C95" w:rsidRDefault="00151C95" w:rsidP="00582B64">
      <w:pPr>
        <w:pStyle w:val="BulletHymans"/>
        <w:numPr>
          <w:ilvl w:val="0"/>
          <w:numId w:val="26"/>
        </w:numPr>
      </w:pPr>
      <w:r>
        <w:t>how the required investment return under relative considerations compares to the estimated future return targeted by the investment strategy</w:t>
      </w:r>
    </w:p>
    <w:p w14:paraId="636924D6" w14:textId="63DB81AA" w:rsidR="00151C95" w:rsidRDefault="00151C95" w:rsidP="00582B64">
      <w:pPr>
        <w:pStyle w:val="BulletHymans"/>
        <w:numPr>
          <w:ilvl w:val="0"/>
          <w:numId w:val="26"/>
        </w:numPr>
      </w:pPr>
      <w:r>
        <w:t xml:space="preserve">the extent to which contributions paid </w:t>
      </w:r>
      <w:r w:rsidR="00852C18">
        <w:t xml:space="preserve">are in line with </w:t>
      </w:r>
      <w:r>
        <w:t>expected contributions</w:t>
      </w:r>
      <w:r w:rsidR="001F3D06">
        <w:t xml:space="preserve">, based on the </w:t>
      </w:r>
      <w:r w:rsidR="006058BE">
        <w:t>R</w:t>
      </w:r>
      <w:r w:rsidR="001F3D06">
        <w:t xml:space="preserve">ates and </w:t>
      </w:r>
      <w:r w:rsidR="006058BE">
        <w:t>A</w:t>
      </w:r>
      <w:r>
        <w:t>djustment</w:t>
      </w:r>
      <w:r w:rsidR="006058BE">
        <w:t>s</w:t>
      </w:r>
      <w:r>
        <w:t xml:space="preserve"> certificate </w:t>
      </w:r>
    </w:p>
    <w:p w14:paraId="53B71A08" w14:textId="0159D520" w:rsidR="00151C95" w:rsidRDefault="001F3D06" w:rsidP="00582B64">
      <w:pPr>
        <w:pStyle w:val="BulletHymans"/>
        <w:numPr>
          <w:ilvl w:val="0"/>
          <w:numId w:val="26"/>
        </w:numPr>
      </w:pPr>
      <w:r>
        <w:t xml:space="preserve">how any new </w:t>
      </w:r>
      <w:r w:rsidR="00151C95">
        <w:t xml:space="preserve">deficit recovery plan </w:t>
      </w:r>
      <w:r>
        <w:t>reconciles with</w:t>
      </w:r>
      <w:r w:rsidR="00641AAF">
        <w:t>,</w:t>
      </w:r>
      <w:r w:rsidR="00FD1B0C">
        <w:t xml:space="preserve"> and can be a continuation of</w:t>
      </w:r>
      <w:r w:rsidR="00641AAF">
        <w:t>,</w:t>
      </w:r>
      <w:r w:rsidR="00FD1B0C">
        <w:t xml:space="preserve"> any </w:t>
      </w:r>
      <w:r w:rsidR="00151C95">
        <w:t xml:space="preserve">previous deficit recovery plan, allowing for </w:t>
      </w:r>
      <w:r w:rsidR="00FD1B0C">
        <w:t>f</w:t>
      </w:r>
      <w:r w:rsidR="00151C95">
        <w:t xml:space="preserve">und experience. </w:t>
      </w:r>
    </w:p>
    <w:p w14:paraId="326E7B26" w14:textId="770A43DA" w:rsidR="00151C95" w:rsidRDefault="00FD1B0C" w:rsidP="00151C95">
      <w:pPr>
        <w:pStyle w:val="BodyTextGrey"/>
        <w:rPr>
          <w:rFonts w:ascii="Times New Roman" w:hAnsi="Times New Roman" w:cs="Times New Roman"/>
          <w:color w:val="auto"/>
          <w:sz w:val="24"/>
          <w:szCs w:val="24"/>
        </w:rPr>
      </w:pPr>
      <w:r>
        <w:t>These metrics may be assessed</w:t>
      </w:r>
      <w:r w:rsidR="009E7A9D">
        <w:t xml:space="preserve"> by GAD</w:t>
      </w:r>
      <w:r>
        <w:t xml:space="preserve"> on a </w:t>
      </w:r>
      <w:r w:rsidR="00151C95">
        <w:t>standardised market-related basis where the funds</w:t>
      </w:r>
      <w:r w:rsidR="001E7E51">
        <w:t>’</w:t>
      </w:r>
      <w:r w:rsidR="00151C95">
        <w:t xml:space="preserve"> actuarial bases do</w:t>
      </w:r>
      <w:r>
        <w:t>n’t offer straightforward c</w:t>
      </w:r>
      <w:r w:rsidR="00151C95">
        <w:t>omparisons</w:t>
      </w:r>
      <w:r>
        <w:t xml:space="preserve">. </w:t>
      </w:r>
      <w:r w:rsidR="00151C95">
        <w:rPr>
          <w:rFonts w:ascii="Times New Roman" w:hAnsi="Times New Roman" w:cs="Times New Roman"/>
          <w:color w:val="auto"/>
          <w:sz w:val="24"/>
          <w:szCs w:val="24"/>
        </w:rPr>
        <w:t xml:space="preserve"> </w:t>
      </w:r>
    </w:p>
    <w:p w14:paraId="682C164C" w14:textId="5FD9EE04" w:rsidR="008C3A46" w:rsidRPr="00B65A66" w:rsidRDefault="008C3A46" w:rsidP="008C3A46">
      <w:pPr>
        <w:pStyle w:val="BodyTextGrey"/>
      </w:pPr>
      <w:r>
        <w:t xml:space="preserve">Standard information about the </w:t>
      </w:r>
      <w:r w:rsidR="00683EB9">
        <w:t>F</w:t>
      </w:r>
      <w:r>
        <w:t>und’s approach to solvency of the pension fund and long-term cost efficiency will be provided in a uniform dashboard format in the valuation report to facilitate comparisons between funds</w:t>
      </w:r>
      <w:r w:rsidR="005C25EE">
        <w:t>.</w:t>
      </w:r>
    </w:p>
    <w:p w14:paraId="65D8BE69" w14:textId="77777777" w:rsidR="008C3A46" w:rsidRDefault="008C3A46" w:rsidP="00151C95">
      <w:pPr>
        <w:pStyle w:val="BodyTextGrey"/>
        <w:rPr>
          <w:rFonts w:ascii="Times New Roman" w:hAnsi="Times New Roman" w:cs="Times New Roman"/>
          <w:color w:val="auto"/>
          <w:sz w:val="24"/>
          <w:szCs w:val="24"/>
        </w:rPr>
      </w:pPr>
    </w:p>
    <w:p w14:paraId="53773D44" w14:textId="77777777" w:rsidR="00151C95" w:rsidRDefault="00151C95" w:rsidP="00151C95">
      <w:pPr>
        <w:pStyle w:val="BodyTextGrey"/>
      </w:pPr>
    </w:p>
    <w:p w14:paraId="750CF281" w14:textId="77777777" w:rsidR="00151C95" w:rsidRPr="00C33083" w:rsidRDefault="00151C95" w:rsidP="00151C95">
      <w:pPr>
        <w:pStyle w:val="BodyTextGrey"/>
        <w:rPr>
          <w:strike/>
        </w:rPr>
      </w:pPr>
    </w:p>
    <w:p w14:paraId="3ADC74E4" w14:textId="77777777" w:rsidR="008231A1" w:rsidRDefault="008231A1" w:rsidP="00424C77">
      <w:pPr>
        <w:pStyle w:val="AppendixTitle"/>
      </w:pPr>
      <w:r>
        <w:lastRenderedPageBreak/>
        <w:br w:type="page"/>
      </w:r>
    </w:p>
    <w:p w14:paraId="210C2F09" w14:textId="6E793468" w:rsidR="00E57572" w:rsidRPr="00E57572" w:rsidRDefault="00E57572" w:rsidP="00424C77">
      <w:pPr>
        <w:pStyle w:val="AppendixTitle"/>
      </w:pPr>
      <w:r w:rsidRPr="00E57572">
        <w:lastRenderedPageBreak/>
        <w:t>Appendi</w:t>
      </w:r>
      <w:r w:rsidR="00447771">
        <w:t xml:space="preserve">ces </w:t>
      </w:r>
    </w:p>
    <w:p w14:paraId="319387C9" w14:textId="24D7DA3F" w:rsidR="000B4361" w:rsidRPr="00AD1463" w:rsidRDefault="000B4361" w:rsidP="00424C77">
      <w:pPr>
        <w:pStyle w:val="Appendix1"/>
      </w:pPr>
      <w:bookmarkStart w:id="94" w:name="AppendixA"/>
      <w:bookmarkStart w:id="95" w:name="_Toc16081862"/>
      <w:bookmarkStart w:id="96" w:name="_Toc16081910"/>
      <w:bookmarkStart w:id="97" w:name="_Toc75375187"/>
      <w:bookmarkStart w:id="98" w:name="_Toc75445256"/>
      <w:bookmarkStart w:id="99" w:name="_Toc110256349"/>
      <w:bookmarkStart w:id="100" w:name="_Toc174969026"/>
      <w:bookmarkEnd w:id="94"/>
      <w:r w:rsidRPr="00AD1463">
        <w:t xml:space="preserve">Appendix A – </w:t>
      </w:r>
      <w:r w:rsidR="00390800">
        <w:t>T</w:t>
      </w:r>
      <w:r w:rsidR="00F14EB3">
        <w:t>he r</w:t>
      </w:r>
      <w:r w:rsidRPr="00AD1463">
        <w:t>egulatory framework</w:t>
      </w:r>
      <w:bookmarkEnd w:id="95"/>
      <w:bookmarkEnd w:id="96"/>
      <w:bookmarkEnd w:id="97"/>
      <w:bookmarkEnd w:id="98"/>
      <w:bookmarkEnd w:id="99"/>
      <w:bookmarkEnd w:id="100"/>
    </w:p>
    <w:p w14:paraId="03CD0237" w14:textId="60EFDCEE" w:rsidR="000B4361" w:rsidRPr="00424C77" w:rsidRDefault="00565973" w:rsidP="00424C77">
      <w:pPr>
        <w:pStyle w:val="Heading2Num"/>
        <w:numPr>
          <w:ilvl w:val="0"/>
          <w:numId w:val="0"/>
        </w:numPr>
        <w:ind w:left="567" w:hanging="567"/>
      </w:pPr>
      <w:bookmarkStart w:id="101" w:name="_Toc86162870"/>
      <w:bookmarkStart w:id="102" w:name="_Toc16078822"/>
      <w:r>
        <w:t>A1</w:t>
      </w:r>
      <w:r w:rsidR="00773FF9">
        <w:t xml:space="preserve"> </w:t>
      </w:r>
      <w:r w:rsidR="000B4361" w:rsidRPr="00424C77">
        <w:t xml:space="preserve">Why do </w:t>
      </w:r>
      <w:r w:rsidR="000A0510" w:rsidRPr="00424C77">
        <w:t>f</w:t>
      </w:r>
      <w:r w:rsidR="000B4361" w:rsidRPr="00424C77">
        <w:t>und</w:t>
      </w:r>
      <w:r w:rsidR="000A0510" w:rsidRPr="00424C77">
        <w:t>s</w:t>
      </w:r>
      <w:r w:rsidR="000B4361" w:rsidRPr="00424C77">
        <w:t xml:space="preserve"> need a</w:t>
      </w:r>
      <w:r w:rsidR="000A0510" w:rsidRPr="00424C77">
        <w:t xml:space="preserve"> funding strategy statement?</w:t>
      </w:r>
      <w:bookmarkEnd w:id="101"/>
      <w:r w:rsidR="000A0510" w:rsidRPr="00424C77">
        <w:t xml:space="preserve"> </w:t>
      </w:r>
      <w:bookmarkEnd w:id="102"/>
    </w:p>
    <w:p w14:paraId="6ADAA370" w14:textId="32B950CE" w:rsidR="000B4361" w:rsidRDefault="000A0510" w:rsidP="000B4361">
      <w:pPr>
        <w:pStyle w:val="BodyTextGrey"/>
      </w:pPr>
      <w:r>
        <w:t>The L</w:t>
      </w:r>
      <w:r w:rsidR="00641AAF">
        <w:t>ocal Government Pension Scheme (LGPS) r</w:t>
      </w:r>
      <w:r>
        <w:t xml:space="preserve">egulations require funds to maintain and publish </w:t>
      </w:r>
      <w:r w:rsidR="00041484">
        <w:t>a</w:t>
      </w:r>
      <w:r w:rsidR="00EE2D1F">
        <w:t xml:space="preserve"> </w:t>
      </w:r>
      <w:r w:rsidR="002A49F5">
        <w:t>F</w:t>
      </w:r>
      <w:r w:rsidR="00EE2D1F">
        <w:t xml:space="preserve">unding </w:t>
      </w:r>
      <w:r w:rsidR="002A49F5">
        <w:t>S</w:t>
      </w:r>
      <w:r w:rsidR="00EE2D1F">
        <w:t xml:space="preserve">trategy </w:t>
      </w:r>
      <w:r w:rsidR="002A49F5">
        <w:t>S</w:t>
      </w:r>
      <w:r w:rsidR="00EE2D1F">
        <w:t xml:space="preserve">tatement (FSS). </w:t>
      </w:r>
      <w:r>
        <w:t xml:space="preserve">According to the </w:t>
      </w:r>
      <w:bookmarkStart w:id="103" w:name="_Hlk195607063"/>
      <w:r w:rsidR="0055508D">
        <w:t>M</w:t>
      </w:r>
      <w:r w:rsidR="001B5AD7">
        <w:t>i</w:t>
      </w:r>
      <w:r w:rsidR="0055508D">
        <w:t>nist</w:t>
      </w:r>
      <w:r w:rsidR="001B5AD7">
        <w:t>ry for Housing, Communit</w:t>
      </w:r>
      <w:r w:rsidR="00910145">
        <w:t>ies</w:t>
      </w:r>
      <w:r w:rsidR="001B5AD7">
        <w:t xml:space="preserve"> and Local Government</w:t>
      </w:r>
      <w:bookmarkEnd w:id="103"/>
      <w:r w:rsidR="004B5310">
        <w:t xml:space="preserve"> (</w:t>
      </w:r>
      <w:r w:rsidR="001B5AD7">
        <w:t>MHCLG</w:t>
      </w:r>
      <w:r w:rsidR="004B5310">
        <w:t>)</w:t>
      </w:r>
      <w:r w:rsidR="00641AAF">
        <w:t xml:space="preserve"> </w:t>
      </w:r>
      <w:r w:rsidR="00567AAC">
        <w:t xml:space="preserve">the </w:t>
      </w:r>
      <w:r w:rsidR="000B4361">
        <w:t>purpose of the FSS is</w:t>
      </w:r>
      <w:r w:rsidR="0077413B">
        <w:t xml:space="preserve"> to document the processes </w:t>
      </w:r>
      <w:r w:rsidR="005A2C7B">
        <w:t xml:space="preserve">the </w:t>
      </w:r>
      <w:r w:rsidR="0077413B">
        <w:t>administering authority</w:t>
      </w:r>
      <w:r w:rsidR="005A2C7B">
        <w:t xml:space="preserve"> uses to</w:t>
      </w:r>
      <w:r w:rsidR="000B4361">
        <w:t xml:space="preserve">: </w:t>
      </w:r>
    </w:p>
    <w:p w14:paraId="41644CFB" w14:textId="17C02E50" w:rsidR="002168B1" w:rsidRPr="008D48B7" w:rsidRDefault="000B4361" w:rsidP="008D48B7">
      <w:pPr>
        <w:pStyle w:val="BulletHymans"/>
        <w:numPr>
          <w:ilvl w:val="0"/>
          <w:numId w:val="3"/>
        </w:numPr>
        <w:rPr>
          <w:i/>
        </w:rPr>
      </w:pPr>
      <w:r w:rsidRPr="002A49F5">
        <w:rPr>
          <w:i/>
        </w:rPr>
        <w:t xml:space="preserve">establish a </w:t>
      </w:r>
      <w:r w:rsidRPr="002A49F5">
        <w:rPr>
          <w:bCs/>
          <w:i/>
        </w:rPr>
        <w:t>clear and transparent fund-specific strategy</w:t>
      </w:r>
      <w:r w:rsidRPr="002A49F5">
        <w:rPr>
          <w:i/>
        </w:rPr>
        <w:t xml:space="preserve"> </w:t>
      </w:r>
      <w:r w:rsidR="009358DF" w:rsidRPr="002A49F5">
        <w:rPr>
          <w:i/>
        </w:rPr>
        <w:t xml:space="preserve">identifying </w:t>
      </w:r>
      <w:r w:rsidRPr="002A49F5">
        <w:rPr>
          <w:i/>
        </w:rPr>
        <w:t>how employers</w:t>
      </w:r>
      <w:r w:rsidR="00B72AEA" w:rsidRPr="002A49F5">
        <w:rPr>
          <w:i/>
        </w:rPr>
        <w:t xml:space="preserve">’ </w:t>
      </w:r>
      <w:r w:rsidRPr="002A49F5">
        <w:rPr>
          <w:i/>
        </w:rPr>
        <w:t>pension liabilities are best met going forward</w:t>
      </w:r>
    </w:p>
    <w:p w14:paraId="3FEA2083" w14:textId="77777777" w:rsidR="002168B1" w:rsidRPr="008D48B7" w:rsidRDefault="002168B1" w:rsidP="008D48B7">
      <w:pPr>
        <w:pStyle w:val="BulletHymans"/>
        <w:numPr>
          <w:ilvl w:val="0"/>
          <w:numId w:val="3"/>
        </w:numPr>
        <w:rPr>
          <w:i/>
        </w:rPr>
      </w:pPr>
      <w:r w:rsidRPr="008D48B7">
        <w:rPr>
          <w:i/>
        </w:rPr>
        <w:t>support the desirability of maintaining as constant and stable primary contribution rate as possible, as defined in Regulation 62(5) of the LGPS Regulations 2013</w:t>
      </w:r>
    </w:p>
    <w:p w14:paraId="13EE0793" w14:textId="77777777" w:rsidR="002168B1" w:rsidRPr="008D48B7" w:rsidRDefault="002168B1" w:rsidP="008D48B7">
      <w:pPr>
        <w:pStyle w:val="BulletHymans"/>
        <w:numPr>
          <w:ilvl w:val="0"/>
          <w:numId w:val="3"/>
        </w:numPr>
        <w:rPr>
          <w:i/>
        </w:rPr>
      </w:pPr>
      <w:r w:rsidRPr="008D48B7">
        <w:rPr>
          <w:i/>
        </w:rPr>
        <w:t>ensure that the regulatory requirements to set contributions to ensure the solvency and long-term cost efficiency of the fund are met.</w:t>
      </w:r>
    </w:p>
    <w:p w14:paraId="2DA55EE8" w14:textId="77777777" w:rsidR="002168B1" w:rsidRPr="008D48B7" w:rsidRDefault="002168B1" w:rsidP="008D48B7">
      <w:pPr>
        <w:pStyle w:val="BulletHymans"/>
        <w:numPr>
          <w:ilvl w:val="0"/>
          <w:numId w:val="3"/>
        </w:numPr>
        <w:rPr>
          <w:i/>
        </w:rPr>
      </w:pPr>
      <w:r w:rsidRPr="008D48B7">
        <w:rPr>
          <w:i/>
        </w:rPr>
        <w:t>explain how the fund balances the interests of different employers.</w:t>
      </w:r>
    </w:p>
    <w:p w14:paraId="3C36AF37" w14:textId="77777777" w:rsidR="002168B1" w:rsidRPr="008D48B7" w:rsidRDefault="002168B1" w:rsidP="008D48B7">
      <w:pPr>
        <w:pStyle w:val="BulletHymans"/>
        <w:numPr>
          <w:ilvl w:val="0"/>
          <w:numId w:val="3"/>
        </w:numPr>
        <w:rPr>
          <w:i/>
        </w:rPr>
      </w:pPr>
      <w:r w:rsidRPr="008D48B7">
        <w:rPr>
          <w:i/>
        </w:rPr>
        <w:t xml:space="preserve">explain how the fund deals with conflicts of interest and references other policies/strategies. </w:t>
      </w:r>
    </w:p>
    <w:p w14:paraId="5ECAF588" w14:textId="12779FB5" w:rsidR="000B4361" w:rsidRDefault="00AF4B1D" w:rsidP="000B4361">
      <w:pPr>
        <w:pStyle w:val="BodyTextGrey"/>
      </w:pPr>
      <w:r>
        <w:t>T</w:t>
      </w:r>
      <w:r w:rsidR="00641AAF">
        <w:t xml:space="preserve">o prepare this FSS, the </w:t>
      </w:r>
      <w:r>
        <w:t>a</w:t>
      </w:r>
      <w:r w:rsidR="000B4361">
        <w:t xml:space="preserve">dministering </w:t>
      </w:r>
      <w:r>
        <w:t>a</w:t>
      </w:r>
      <w:r w:rsidR="000B4361">
        <w:t xml:space="preserve">uthority </w:t>
      </w:r>
      <w:r>
        <w:t xml:space="preserve">has </w:t>
      </w:r>
      <w:r w:rsidR="009358DF">
        <w:t>used</w:t>
      </w:r>
      <w:r>
        <w:t xml:space="preserve"> guidance</w:t>
      </w:r>
      <w:r w:rsidR="00B24301">
        <w:rPr>
          <w:color w:val="45545F"/>
          <w:spacing w:val="-3"/>
        </w:rPr>
        <w:t xml:space="preserve"> jointly prepared by the Scheme Advisory Board (SAB), MHCLG, and </w:t>
      </w:r>
      <w:r w:rsidR="00641AAF">
        <w:t xml:space="preserve">by the </w:t>
      </w:r>
      <w:r w:rsidR="000B4361" w:rsidRPr="004F5C25">
        <w:t>Chartered Institute of Public Finance and Accountancy (CIPFA</w:t>
      </w:r>
      <w:r w:rsidR="000B4361">
        <w:t>)</w:t>
      </w:r>
      <w:r w:rsidR="001B5AD7">
        <w:t xml:space="preserve"> dated </w:t>
      </w:r>
      <w:r w:rsidR="00B24301">
        <w:t>January 2025</w:t>
      </w:r>
      <w:r w:rsidR="00F442AD">
        <w:t>.</w:t>
      </w:r>
    </w:p>
    <w:p w14:paraId="7C8A1647" w14:textId="56476555" w:rsidR="00C41851" w:rsidRDefault="00C41851" w:rsidP="00C41851">
      <w:pPr>
        <w:pStyle w:val="BodyTextGrey"/>
      </w:pPr>
      <w:r>
        <w:t>T</w:t>
      </w:r>
      <w:r w:rsidRPr="00C41851">
        <w:t xml:space="preserve">he </w:t>
      </w:r>
      <w:r w:rsidR="00F55506">
        <w:t>F</w:t>
      </w:r>
      <w:r w:rsidRPr="00C41851">
        <w:t xml:space="preserve">und </w:t>
      </w:r>
      <w:r w:rsidR="0006344F">
        <w:t>has</w:t>
      </w:r>
      <w:r>
        <w:t xml:space="preserve"> </w:t>
      </w:r>
      <w:r w:rsidRPr="00313123">
        <w:t xml:space="preserve">a fiduciary </w:t>
      </w:r>
      <w:r>
        <w:t xml:space="preserve">duty </w:t>
      </w:r>
      <w:r w:rsidRPr="00C41851">
        <w:t xml:space="preserve">to scheme members and obligations to employers to administer the scheme competently to keep employer contributions at an affordable level.  </w:t>
      </w:r>
      <w:r w:rsidR="00E05E4A">
        <w:t xml:space="preserve">The </w:t>
      </w:r>
      <w:r w:rsidR="00F55506">
        <w:t>F</w:t>
      </w:r>
      <w:r w:rsidR="00E05E4A">
        <w:t xml:space="preserve">unding </w:t>
      </w:r>
      <w:r w:rsidR="00F55506">
        <w:t>S</w:t>
      </w:r>
      <w:r w:rsidR="00E05E4A">
        <w:t xml:space="preserve">trategy </w:t>
      </w:r>
      <w:r w:rsidR="00F55506">
        <w:t>S</w:t>
      </w:r>
      <w:r w:rsidR="00E05E4A">
        <w:t xml:space="preserve">tatement sets out how the </w:t>
      </w:r>
      <w:r w:rsidR="00F55506">
        <w:t>F</w:t>
      </w:r>
      <w:r w:rsidR="00E05E4A">
        <w:t>und meets these responsibilities.</w:t>
      </w:r>
    </w:p>
    <w:p w14:paraId="2B3A5D84" w14:textId="54EA95B8" w:rsidR="000B4361" w:rsidRDefault="00F001A2" w:rsidP="000B4361">
      <w:pPr>
        <w:pStyle w:val="Appendix2"/>
      </w:pPr>
      <w:bookmarkStart w:id="104" w:name="_Toc86162871"/>
      <w:bookmarkStart w:id="105" w:name="_Toc16078823"/>
      <w:r>
        <w:t>A2</w:t>
      </w:r>
      <w:r w:rsidR="00773FF9">
        <w:t xml:space="preserve"> </w:t>
      </w:r>
      <w:r w:rsidR="002D14A3">
        <w:t>Consultation</w:t>
      </w:r>
      <w:bookmarkEnd w:id="104"/>
      <w:r w:rsidR="002D14A3">
        <w:t xml:space="preserve"> </w:t>
      </w:r>
      <w:r w:rsidR="00AF4B1D">
        <w:t xml:space="preserve"> </w:t>
      </w:r>
      <w:bookmarkEnd w:id="105"/>
    </w:p>
    <w:p w14:paraId="79225522" w14:textId="238BADC6" w:rsidR="000B4361" w:rsidRDefault="00AF4B1D" w:rsidP="000B4361">
      <w:pPr>
        <w:pStyle w:val="BodyTextGrey"/>
      </w:pPr>
      <w:r>
        <w:t xml:space="preserve">Both the </w:t>
      </w:r>
      <w:r w:rsidR="000B4361">
        <w:t xml:space="preserve">LGPS </w:t>
      </w:r>
      <w:r w:rsidR="009358DF">
        <w:t>r</w:t>
      </w:r>
      <w:r w:rsidR="000B4361">
        <w:t>egulations</w:t>
      </w:r>
      <w:r>
        <w:t xml:space="preserve"> and </w:t>
      </w:r>
      <w:r w:rsidR="000B4361">
        <w:t>most recent CIPFA guidance</w:t>
      </w:r>
      <w:r>
        <w:t xml:space="preserve"> state the FSS should be prepared in consultation with </w:t>
      </w:r>
      <w:r w:rsidR="002D14A3">
        <w:t>“</w:t>
      </w:r>
      <w:r w:rsidR="000B4361" w:rsidRPr="002D14A3">
        <w:rPr>
          <w:i/>
          <w:iCs w:val="0"/>
        </w:rPr>
        <w:t xml:space="preserve">persons </w:t>
      </w:r>
      <w:r w:rsidRPr="002D14A3">
        <w:rPr>
          <w:i/>
          <w:iCs w:val="0"/>
        </w:rPr>
        <w:t>t</w:t>
      </w:r>
      <w:r w:rsidR="000B4361" w:rsidRPr="002D14A3">
        <w:rPr>
          <w:i/>
          <w:iCs w:val="0"/>
        </w:rPr>
        <w:t>he authority considers appropriate</w:t>
      </w:r>
      <w:r w:rsidR="000B4361">
        <w:t>”</w:t>
      </w:r>
      <w:r w:rsidR="002D14A3">
        <w:t xml:space="preserve">. This should include </w:t>
      </w:r>
      <w:r w:rsidR="00CD10A1">
        <w:t>‘</w:t>
      </w:r>
      <w:r w:rsidR="000B4361" w:rsidRPr="002D14A3">
        <w:rPr>
          <w:i/>
          <w:iCs w:val="0"/>
        </w:rPr>
        <w:t>meaningful dialogue</w:t>
      </w:r>
      <w:r w:rsidR="002D14A3">
        <w:rPr>
          <w:i/>
          <w:iCs w:val="0"/>
        </w:rPr>
        <w:t xml:space="preserve">… </w:t>
      </w:r>
      <w:r w:rsidR="000B4361" w:rsidRPr="002D14A3">
        <w:rPr>
          <w:i/>
          <w:iCs w:val="0"/>
        </w:rPr>
        <w:t xml:space="preserve">with council tax raising authorities and representatives of other participating </w:t>
      </w:r>
      <w:proofErr w:type="gramStart"/>
      <w:r w:rsidR="000B4361" w:rsidRPr="002D14A3">
        <w:rPr>
          <w:i/>
          <w:iCs w:val="0"/>
        </w:rPr>
        <w:t>employer</w:t>
      </w:r>
      <w:r w:rsidR="00CD10A1">
        <w:rPr>
          <w:i/>
          <w:iCs w:val="0"/>
        </w:rPr>
        <w:t>s</w:t>
      </w:r>
      <w:r w:rsidR="00CD10A1">
        <w:t>’</w:t>
      </w:r>
      <w:proofErr w:type="gramEnd"/>
      <w:r w:rsidR="000B4361">
        <w:t>.</w:t>
      </w:r>
    </w:p>
    <w:p w14:paraId="097ADFF9" w14:textId="0DAF7EBC" w:rsidR="006215B4" w:rsidRDefault="006215B4" w:rsidP="006215B4">
      <w:pPr>
        <w:spacing w:after="200"/>
        <w:jc w:val="left"/>
        <w:rPr>
          <w:color w:val="455560" w:themeColor="accent5"/>
          <w:lang w:eastAsia="en-US"/>
        </w:rPr>
      </w:pPr>
      <w:r w:rsidRPr="002C0D40">
        <w:rPr>
          <w:color w:val="455560" w:themeColor="accent5"/>
          <w:lang w:eastAsia="en-US"/>
        </w:rPr>
        <w:t>The Fund’s consultation process during a valuation year includes issuing a draft version of the FSS to participating employers, highlighting the key changes, and inviting employers to attend an open forum. Draft employer valuation results will be issued alongside the draft FSS. Employer feedback from this process will be considered, and any changes incorporated within the final version of the FSS that will be approved by the Fund’s committee prior to the end of the valuation year.</w:t>
      </w:r>
      <w:r w:rsidRPr="006215B4">
        <w:rPr>
          <w:color w:val="455560" w:themeColor="accent5"/>
          <w:lang w:eastAsia="en-US"/>
        </w:rPr>
        <w:t xml:space="preserve"> </w:t>
      </w:r>
      <w:r w:rsidR="00556C62">
        <w:rPr>
          <w:color w:val="455560" w:themeColor="accent5"/>
          <w:lang w:eastAsia="en-US"/>
        </w:rPr>
        <w:t>(Financial year following valuation deadline)</w:t>
      </w:r>
    </w:p>
    <w:p w14:paraId="20562080" w14:textId="16EFFCD8" w:rsidR="009B3923" w:rsidRPr="006215B4" w:rsidRDefault="009B3923" w:rsidP="006215B4">
      <w:pPr>
        <w:spacing w:after="200"/>
        <w:jc w:val="left"/>
        <w:rPr>
          <w:color w:val="455560" w:themeColor="accent5"/>
          <w:lang w:eastAsia="en-US"/>
        </w:rPr>
      </w:pPr>
      <w:r w:rsidRPr="009B3923">
        <w:rPr>
          <w:color w:val="455560" w:themeColor="accent5"/>
          <w:lang w:eastAsia="en-US"/>
        </w:rPr>
        <w:t>The fund also shared the draft FSS with the Department for Education and facilitated a meeting to discuss the changes made and the implications of the fund’s funding policies on academy employers</w:t>
      </w:r>
      <w:r>
        <w:rPr>
          <w:color w:val="455560" w:themeColor="accent5"/>
          <w:lang w:eastAsia="en-US"/>
        </w:rPr>
        <w:t>.</w:t>
      </w:r>
    </w:p>
    <w:p w14:paraId="4C571D03" w14:textId="1293932A" w:rsidR="000B4361" w:rsidRDefault="00F001A2" w:rsidP="000B4361">
      <w:pPr>
        <w:pStyle w:val="Appendix2"/>
      </w:pPr>
      <w:bookmarkStart w:id="106" w:name="_Toc16078824"/>
      <w:bookmarkStart w:id="107" w:name="_Toc86162872"/>
      <w:r>
        <w:t>A3</w:t>
      </w:r>
      <w:r w:rsidR="00773FF9">
        <w:t xml:space="preserve"> </w:t>
      </w:r>
      <w:r w:rsidR="000B4361">
        <w:t>How is the FSS published?</w:t>
      </w:r>
      <w:bookmarkEnd w:id="106"/>
      <w:bookmarkEnd w:id="107"/>
    </w:p>
    <w:p w14:paraId="50C2E33B" w14:textId="167D332D" w:rsidR="00EB46D6" w:rsidRPr="001C4217" w:rsidRDefault="00EB46D6" w:rsidP="00EB46D6">
      <w:pPr>
        <w:pStyle w:val="BodyTextGrey"/>
      </w:pPr>
      <w:r w:rsidRPr="002C0D40">
        <w:t xml:space="preserve">The FSS is emailed to participating employers. Summaries are issued to </w:t>
      </w:r>
      <w:r w:rsidR="00084BF8" w:rsidRPr="002C0D40">
        <w:t>members,</w:t>
      </w:r>
      <w:r w:rsidRPr="002C0D40">
        <w:t xml:space="preserve"> and a full copy is included in the Fund’s annual report and accounts. Copies are freely available on request and</w:t>
      </w:r>
      <w:r w:rsidR="00084BF8" w:rsidRPr="002C0D40">
        <w:t xml:space="preserve"> the FSS</w:t>
      </w:r>
      <w:r w:rsidRPr="002C0D40">
        <w:t xml:space="preserve"> is published on the </w:t>
      </w:r>
      <w:r w:rsidR="0085745B" w:rsidRPr="002C0D40">
        <w:t>a</w:t>
      </w:r>
      <w:r w:rsidRPr="002C0D40">
        <w:t xml:space="preserve">dministering </w:t>
      </w:r>
      <w:r w:rsidR="0085745B" w:rsidRPr="002C0D40">
        <w:t>a</w:t>
      </w:r>
      <w:r w:rsidRPr="002C0D40">
        <w:t>uthority’s website.</w:t>
      </w:r>
    </w:p>
    <w:p w14:paraId="7E1B2106" w14:textId="77777777" w:rsidR="00E7796D" w:rsidRDefault="00E7796D" w:rsidP="000B4361">
      <w:pPr>
        <w:pStyle w:val="Appendix2"/>
      </w:pPr>
      <w:bookmarkStart w:id="108" w:name="_Toc16078825"/>
      <w:bookmarkStart w:id="109" w:name="_Toc86162873"/>
    </w:p>
    <w:p w14:paraId="6818CEF5" w14:textId="676A93E4" w:rsidR="000B4361" w:rsidRDefault="009119BE" w:rsidP="000B4361">
      <w:pPr>
        <w:pStyle w:val="Appendix2"/>
      </w:pPr>
      <w:bookmarkStart w:id="110" w:name="_Toc16078826"/>
      <w:bookmarkStart w:id="111" w:name="_Toc86162874"/>
      <w:bookmarkEnd w:id="108"/>
      <w:bookmarkEnd w:id="109"/>
      <w:r>
        <w:t xml:space="preserve">A4 </w:t>
      </w:r>
      <w:r w:rsidR="000B4361">
        <w:t xml:space="preserve">How does the FSS fit into </w:t>
      </w:r>
      <w:r w:rsidR="00803A64">
        <w:t>the</w:t>
      </w:r>
      <w:r w:rsidR="0063416B">
        <w:t xml:space="preserve"> overall</w:t>
      </w:r>
      <w:r w:rsidR="00803A64">
        <w:t xml:space="preserve"> </w:t>
      </w:r>
      <w:r>
        <w:t>F</w:t>
      </w:r>
      <w:r w:rsidR="000B4361">
        <w:t>und document</w:t>
      </w:r>
      <w:r w:rsidR="00641AAF">
        <w:t>ation</w:t>
      </w:r>
      <w:r w:rsidR="000B4361">
        <w:t>?</w:t>
      </w:r>
      <w:bookmarkEnd w:id="110"/>
      <w:bookmarkEnd w:id="111"/>
    </w:p>
    <w:p w14:paraId="6EE98FFE" w14:textId="2F757D65" w:rsidR="00803A64" w:rsidRDefault="000B4361" w:rsidP="000B4361">
      <w:pPr>
        <w:pStyle w:val="BodyTextGrey"/>
      </w:pPr>
      <w:r>
        <w:t xml:space="preserve">The FSS is a summary of the </w:t>
      </w:r>
      <w:r w:rsidR="00641AAF">
        <w:t>f</w:t>
      </w:r>
      <w:r>
        <w:t>und’s approach to funding liabilities.</w:t>
      </w:r>
      <w:r w:rsidR="00F4456F">
        <w:t xml:space="preserve"> </w:t>
      </w:r>
      <w:r>
        <w:t>It</w:t>
      </w:r>
      <w:r w:rsidR="00803A64">
        <w:t xml:space="preserve"> isn’t exhaustive – </w:t>
      </w:r>
      <w:r w:rsidR="00641AAF">
        <w:t>t</w:t>
      </w:r>
      <w:r w:rsidR="00803A64">
        <w:t xml:space="preserve">he </w:t>
      </w:r>
      <w:r w:rsidR="003141FF">
        <w:t>F</w:t>
      </w:r>
      <w:r w:rsidR="00803A64">
        <w:t xml:space="preserve">und publishes other </w:t>
      </w:r>
      <w:r>
        <w:t xml:space="preserve">statements </w:t>
      </w:r>
      <w:r w:rsidR="00803A64">
        <w:t xml:space="preserve">like </w:t>
      </w:r>
      <w:r>
        <w:t xml:space="preserve">the </w:t>
      </w:r>
      <w:r w:rsidR="00415295" w:rsidRPr="00415295">
        <w:t>Investment Strategy Statement</w:t>
      </w:r>
      <w:r>
        <w:t xml:space="preserve">, </w:t>
      </w:r>
      <w:r w:rsidR="00641AAF">
        <w:t>g</w:t>
      </w:r>
      <w:r>
        <w:t xml:space="preserve">overnance </w:t>
      </w:r>
      <w:r w:rsidR="00641AAF">
        <w:t>s</w:t>
      </w:r>
      <w:r>
        <w:t xml:space="preserve">trategy and </w:t>
      </w:r>
      <w:r w:rsidR="00641AAF">
        <w:t>c</w:t>
      </w:r>
      <w:r>
        <w:t xml:space="preserve">ommunications </w:t>
      </w:r>
      <w:r w:rsidR="00641AAF">
        <w:t>s</w:t>
      </w:r>
      <w:r>
        <w:t>trategy.</w:t>
      </w:r>
      <w:r w:rsidR="00F4456F">
        <w:t xml:space="preserve"> </w:t>
      </w:r>
      <w:r w:rsidR="00803A64">
        <w:t xml:space="preserve">The </w:t>
      </w:r>
      <w:r w:rsidR="008C08B3">
        <w:t>F</w:t>
      </w:r>
      <w:r w:rsidR="00803A64">
        <w:t>und’s a</w:t>
      </w:r>
      <w:r>
        <w:t xml:space="preserve">nnual </w:t>
      </w:r>
      <w:r w:rsidR="00803A64">
        <w:t>r</w:t>
      </w:r>
      <w:r>
        <w:t xml:space="preserve">eport and </w:t>
      </w:r>
      <w:r w:rsidR="00803A64">
        <w:t>a</w:t>
      </w:r>
      <w:r>
        <w:t xml:space="preserve">ccounts </w:t>
      </w:r>
      <w:r w:rsidR="00803A64">
        <w:t xml:space="preserve">also includes up-to-date </w:t>
      </w:r>
      <w:r w:rsidR="008C08B3">
        <w:t>F</w:t>
      </w:r>
      <w:r w:rsidR="00803A64">
        <w:t xml:space="preserve">und information. </w:t>
      </w:r>
    </w:p>
    <w:p w14:paraId="156EBA86" w14:textId="70D92964" w:rsidR="000B4361" w:rsidRDefault="00803A64" w:rsidP="000B4361">
      <w:pPr>
        <w:pStyle w:val="BodyTextGrey"/>
      </w:pPr>
      <w:r>
        <w:t xml:space="preserve">You can </w:t>
      </w:r>
      <w:r w:rsidR="00CD29AA">
        <w:t xml:space="preserve">see all </w:t>
      </w:r>
      <w:r w:rsidR="00EC6EE4">
        <w:t>F</w:t>
      </w:r>
      <w:r w:rsidR="00CD29AA">
        <w:t xml:space="preserve">und documentation at </w:t>
      </w:r>
      <w:hyperlink r:id="rId21" w:history="1">
        <w:r w:rsidR="00081BBB" w:rsidRPr="000C2BDA">
          <w:rPr>
            <w:rStyle w:val="Hyperlink"/>
          </w:rPr>
          <w:t>https://www.enfield.gov.uk/pensions</w:t>
        </w:r>
      </w:hyperlink>
      <w:r w:rsidR="00081BBB">
        <w:t>.</w:t>
      </w:r>
      <w:r w:rsidR="00081BBB">
        <w:rPr>
          <w:highlight w:val="yellow"/>
        </w:rPr>
        <w:t xml:space="preserve"> </w:t>
      </w:r>
    </w:p>
    <w:p w14:paraId="5FE8BB5F" w14:textId="48A5D607" w:rsidR="000B4361" w:rsidRPr="00AD1463" w:rsidRDefault="000B4361" w:rsidP="00D21B3D">
      <w:pPr>
        <w:pStyle w:val="Appendix1"/>
        <w:pageBreakBefore/>
      </w:pPr>
      <w:bookmarkStart w:id="112" w:name="AppendixB"/>
      <w:bookmarkStart w:id="113" w:name="_Toc110256350"/>
      <w:bookmarkStart w:id="114" w:name="_Toc174969027"/>
      <w:bookmarkStart w:id="115" w:name="_Toc16081863"/>
      <w:bookmarkStart w:id="116" w:name="_Toc16081911"/>
      <w:bookmarkStart w:id="117" w:name="_Toc75375188"/>
      <w:bookmarkStart w:id="118" w:name="_Toc75445257"/>
      <w:bookmarkEnd w:id="112"/>
      <w:r w:rsidRPr="00AD1463">
        <w:lastRenderedPageBreak/>
        <w:t xml:space="preserve">Appendix B – </w:t>
      </w:r>
      <w:r w:rsidR="00390800">
        <w:t>R</w:t>
      </w:r>
      <w:r w:rsidR="00A31D50" w:rsidRPr="00AD1463">
        <w:t>oles and r</w:t>
      </w:r>
      <w:r w:rsidRPr="00AD1463">
        <w:t>esponsibilities</w:t>
      </w:r>
      <w:bookmarkEnd w:id="113"/>
      <w:bookmarkEnd w:id="114"/>
      <w:r w:rsidRPr="00AD1463">
        <w:t xml:space="preserve"> </w:t>
      </w:r>
      <w:bookmarkEnd w:id="115"/>
      <w:bookmarkEnd w:id="116"/>
      <w:bookmarkEnd w:id="117"/>
      <w:bookmarkEnd w:id="118"/>
    </w:p>
    <w:p w14:paraId="3EF34D02" w14:textId="77777777" w:rsidR="000C0046" w:rsidRDefault="000B4361" w:rsidP="000B4361">
      <w:pPr>
        <w:pStyle w:val="Appendix2"/>
      </w:pPr>
      <w:bookmarkStart w:id="119" w:name="_Toc86162875"/>
      <w:bookmarkStart w:id="120" w:name="_Toc16078827"/>
      <w:r>
        <w:t>B1</w:t>
      </w:r>
      <w:r w:rsidR="00773FF9">
        <w:t xml:space="preserve"> </w:t>
      </w:r>
      <w:r w:rsidRPr="00940F15">
        <w:t xml:space="preserve">The </w:t>
      </w:r>
      <w:r w:rsidR="00A31D50">
        <w:t>a</w:t>
      </w:r>
      <w:r w:rsidRPr="00940F15">
        <w:t xml:space="preserve">dministering </w:t>
      </w:r>
      <w:r w:rsidR="00A31D50">
        <w:t>a</w:t>
      </w:r>
      <w:r w:rsidRPr="00940F15">
        <w:t>uthority</w:t>
      </w:r>
      <w:r w:rsidR="00AE264A">
        <w:t xml:space="preserve"> </w:t>
      </w:r>
      <w:r w:rsidR="000C0046">
        <w:t>is required to</w:t>
      </w:r>
      <w:r w:rsidR="00641AAF">
        <w:t>:</w:t>
      </w:r>
      <w:bookmarkEnd w:id="119"/>
    </w:p>
    <w:p w14:paraId="69D4F0FD" w14:textId="77777777" w:rsidR="000C0046" w:rsidRDefault="000C0046" w:rsidP="000C0046">
      <w:pPr>
        <w:pStyle w:val="NumberHymans"/>
      </w:pPr>
      <w:r w:rsidRPr="000C0046">
        <w:t xml:space="preserve">operate a pension fund </w:t>
      </w:r>
    </w:p>
    <w:p w14:paraId="644BE9BE" w14:textId="5665C82A" w:rsidR="000C0046" w:rsidRDefault="000C0046" w:rsidP="000C0046">
      <w:pPr>
        <w:pStyle w:val="NumberHymans"/>
      </w:pPr>
      <w:r w:rsidRPr="000C0046">
        <w:t xml:space="preserve">collect employer and employee contributions, investment income and other amounts due to the </w:t>
      </w:r>
      <w:r w:rsidR="00955C2A">
        <w:t>F</w:t>
      </w:r>
      <w:r w:rsidRPr="000C0046">
        <w:t xml:space="preserve">und as stipulated in LGPS Regulations </w:t>
      </w:r>
    </w:p>
    <w:p w14:paraId="39EC9381" w14:textId="77777777" w:rsidR="000C0046" w:rsidRDefault="000C0046" w:rsidP="000C0046">
      <w:pPr>
        <w:pStyle w:val="NumberHymans"/>
      </w:pPr>
      <w:r w:rsidRPr="000C0046">
        <w:t xml:space="preserve">have an escalation policy in situations where employers fail to meet their obligations </w:t>
      </w:r>
    </w:p>
    <w:p w14:paraId="44F15EEA" w14:textId="7DAA4302" w:rsidR="000C0046" w:rsidRDefault="000C0046" w:rsidP="000C0046">
      <w:pPr>
        <w:pStyle w:val="NumberHymans"/>
      </w:pPr>
      <w:r w:rsidRPr="000C0046">
        <w:t xml:space="preserve">pay from the </w:t>
      </w:r>
      <w:r w:rsidR="00955C2A">
        <w:t>F</w:t>
      </w:r>
      <w:r w:rsidRPr="000C0046">
        <w:t xml:space="preserve">und the relevant entitlements as stipulated in LGPS Regulations </w:t>
      </w:r>
    </w:p>
    <w:p w14:paraId="7AC79873" w14:textId="77777777" w:rsidR="000C0046" w:rsidRDefault="000C0046" w:rsidP="000C0046">
      <w:pPr>
        <w:pStyle w:val="NumberHymans"/>
      </w:pPr>
      <w:r w:rsidRPr="000C0046">
        <w:t xml:space="preserve">invest surplus monies in accordance with the relevant regulations </w:t>
      </w:r>
    </w:p>
    <w:p w14:paraId="744DE6D6" w14:textId="77777777" w:rsidR="000C0046" w:rsidRDefault="000C0046" w:rsidP="000C0046">
      <w:pPr>
        <w:pStyle w:val="NumberHymans"/>
      </w:pPr>
      <w:r w:rsidRPr="000C0046">
        <w:t xml:space="preserve">ensure that cash is available to meet liabilities as and when they fall due </w:t>
      </w:r>
    </w:p>
    <w:p w14:paraId="38929CCA" w14:textId="77777777" w:rsidR="00DC6160" w:rsidRDefault="000C0046" w:rsidP="000C0046">
      <w:pPr>
        <w:pStyle w:val="NumberHymans"/>
      </w:pPr>
      <w:r w:rsidRPr="000C0046">
        <w:t xml:space="preserve">ensure benefits paid to members are accurate and undertake timely and appropriate action to rectify any inaccurate benefit payments </w:t>
      </w:r>
    </w:p>
    <w:p w14:paraId="4A4C9B60" w14:textId="6A401C82" w:rsidR="00F31A8E" w:rsidRDefault="000C0046" w:rsidP="000C0046">
      <w:pPr>
        <w:pStyle w:val="NumberHymans"/>
      </w:pPr>
      <w:r w:rsidRPr="000C0046">
        <w:t xml:space="preserve">take measures as set out in the regulations to safeguard the fund against the consequences of employer default </w:t>
      </w:r>
    </w:p>
    <w:p w14:paraId="4E6146D0" w14:textId="07D9A5A8" w:rsidR="00F31A8E" w:rsidRDefault="000C0046" w:rsidP="000C0046">
      <w:pPr>
        <w:pStyle w:val="NumberHymans"/>
      </w:pPr>
      <w:r w:rsidRPr="000C0046">
        <w:t xml:space="preserve">manage the valuation process in consultation with the </w:t>
      </w:r>
      <w:r w:rsidR="00955C2A">
        <w:t>F</w:t>
      </w:r>
      <w:r w:rsidRPr="000C0046">
        <w:t xml:space="preserve">und’s actuary </w:t>
      </w:r>
    </w:p>
    <w:p w14:paraId="23530EA1" w14:textId="43B4D04F" w:rsidR="00F31A8E" w:rsidRDefault="000C0046" w:rsidP="000C0046">
      <w:pPr>
        <w:pStyle w:val="NumberHymans"/>
      </w:pPr>
      <w:r w:rsidRPr="000C0046">
        <w:t xml:space="preserve">prepare and maintain an FSS and associated funding policies and ISS, after proper consultation with interested parties </w:t>
      </w:r>
    </w:p>
    <w:p w14:paraId="42F6A84F" w14:textId="0AA83BF9" w:rsidR="00F31A8E" w:rsidRDefault="000C0046" w:rsidP="000C0046">
      <w:pPr>
        <w:pStyle w:val="NumberHymans"/>
      </w:pPr>
      <w:r w:rsidRPr="000C0046">
        <w:t xml:space="preserve">monitor all aspects of the </w:t>
      </w:r>
      <w:r w:rsidR="003218CF">
        <w:t>F</w:t>
      </w:r>
      <w:r w:rsidRPr="000C0046">
        <w:t xml:space="preserve">und’s performance and funding, and amend the FSS/ISS accordingly </w:t>
      </w:r>
    </w:p>
    <w:p w14:paraId="3E5703E4" w14:textId="77777777" w:rsidR="00F31A8E" w:rsidRDefault="000C0046" w:rsidP="000C0046">
      <w:pPr>
        <w:pStyle w:val="NumberHymans"/>
      </w:pPr>
      <w:r w:rsidRPr="000C0046">
        <w:t xml:space="preserve">establish a policy around exit payments and payment of exit credits/debits in relation to employer exits </w:t>
      </w:r>
    </w:p>
    <w:p w14:paraId="359843A0" w14:textId="731167B1" w:rsidR="00F31A8E" w:rsidRDefault="000C0046" w:rsidP="000C0046">
      <w:pPr>
        <w:pStyle w:val="NumberHymans"/>
      </w:pPr>
      <w:r w:rsidRPr="000C0046">
        <w:t xml:space="preserve">effectively manage any potential conflicts of interest arising from its dual role as both </w:t>
      </w:r>
      <w:r w:rsidR="003218CF">
        <w:t>F</w:t>
      </w:r>
      <w:r w:rsidRPr="000C0046">
        <w:t xml:space="preserve">und administrator and scheme employer </w:t>
      </w:r>
    </w:p>
    <w:p w14:paraId="18F2F954" w14:textId="77777777" w:rsidR="00F31A8E" w:rsidRDefault="000C0046" w:rsidP="000C0046">
      <w:pPr>
        <w:pStyle w:val="NumberHymans"/>
      </w:pPr>
      <w:r w:rsidRPr="000C0046">
        <w:t xml:space="preserve">enable the local pension board to review the valuation and FSS review process and as set out in their terms of reference </w:t>
      </w:r>
    </w:p>
    <w:p w14:paraId="217197AB" w14:textId="2AA50D10" w:rsidR="000B4361" w:rsidRPr="00940F15" w:rsidRDefault="000C0046" w:rsidP="008D48B7">
      <w:pPr>
        <w:pStyle w:val="NumberHymans"/>
      </w:pPr>
      <w:r w:rsidRPr="000C0046">
        <w:t>support and monitor a Local Pension Board (LPB) as required by the Public Service Pensions Act 2013, the Regulations and the Pensions Regulator’s relevant Code of Practice</w:t>
      </w:r>
      <w:r w:rsidR="00641AAF">
        <w:t xml:space="preserve"> </w:t>
      </w:r>
      <w:bookmarkEnd w:id="120"/>
    </w:p>
    <w:p w14:paraId="6E0A613E" w14:textId="77777777" w:rsidR="002D67C3" w:rsidRPr="0048263A" w:rsidRDefault="002D67C3" w:rsidP="000B4361">
      <w:pPr>
        <w:pStyle w:val="Appendix2"/>
      </w:pPr>
      <w:bookmarkStart w:id="121" w:name="_Toc16078828"/>
    </w:p>
    <w:p w14:paraId="4BE81EED" w14:textId="7F6852BA" w:rsidR="000B4361" w:rsidRDefault="00F001A2" w:rsidP="000B4361">
      <w:pPr>
        <w:pStyle w:val="Appendix2"/>
      </w:pPr>
      <w:bookmarkStart w:id="122" w:name="_Toc86162876"/>
      <w:r w:rsidRPr="0048263A">
        <w:t>B2</w:t>
      </w:r>
      <w:r w:rsidR="00773FF9" w:rsidRPr="0048263A">
        <w:t xml:space="preserve"> </w:t>
      </w:r>
      <w:r w:rsidR="00641AAF" w:rsidRPr="0048263A">
        <w:t>I</w:t>
      </w:r>
      <w:r w:rsidR="000B4361" w:rsidRPr="0048263A">
        <w:t xml:space="preserve">ndividual </w:t>
      </w:r>
      <w:r w:rsidR="004D78FE" w:rsidRPr="0048263A">
        <w:t>e</w:t>
      </w:r>
      <w:r w:rsidR="000B4361" w:rsidRPr="0048263A">
        <w:t>mployer</w:t>
      </w:r>
      <w:r w:rsidR="00641AAF" w:rsidRPr="0048263A">
        <w:t>s</w:t>
      </w:r>
      <w:r w:rsidR="00240E6F">
        <w:t xml:space="preserve"> are required to</w:t>
      </w:r>
      <w:r w:rsidR="00641AAF" w:rsidRPr="0048263A">
        <w:t>:</w:t>
      </w:r>
      <w:bookmarkEnd w:id="122"/>
      <w:r w:rsidR="00641AAF" w:rsidRPr="0048263A">
        <w:t xml:space="preserve"> </w:t>
      </w:r>
      <w:bookmarkEnd w:id="121"/>
    </w:p>
    <w:p w14:paraId="64DE8131" w14:textId="77777777" w:rsidR="00240E6F" w:rsidRDefault="00240E6F" w:rsidP="00240E6F">
      <w:pPr>
        <w:pStyle w:val="NumberHymans"/>
        <w:numPr>
          <w:ilvl w:val="0"/>
          <w:numId w:val="75"/>
        </w:numPr>
      </w:pPr>
      <w:r w:rsidRPr="00240E6F">
        <w:t xml:space="preserve">Ensure staff who are eligible are contractually enrolled and deduct contributions from employees’ pay correctly after determining the appropriate employee contribution rate (in accordance with the Regulations), </w:t>
      </w:r>
    </w:p>
    <w:p w14:paraId="029D4809" w14:textId="29BE924D" w:rsidR="00240E6F" w:rsidRDefault="00240E6F" w:rsidP="00240E6F">
      <w:pPr>
        <w:pStyle w:val="NumberHymans"/>
        <w:numPr>
          <w:ilvl w:val="0"/>
          <w:numId w:val="75"/>
        </w:numPr>
      </w:pPr>
      <w:r w:rsidRPr="00240E6F">
        <w:t xml:space="preserve">provide the </w:t>
      </w:r>
      <w:r w:rsidR="00896214">
        <w:t>F</w:t>
      </w:r>
      <w:r w:rsidRPr="00240E6F">
        <w:t xml:space="preserve">und with accurate data and understand that the quality of the data provided to the Fund will directly impact on the assessment of their liabilities and their contributions. </w:t>
      </w:r>
      <w:proofErr w:type="gramStart"/>
      <w:r w:rsidRPr="00240E6F">
        <w:t>In particular, any</w:t>
      </w:r>
      <w:proofErr w:type="gramEnd"/>
      <w:r w:rsidRPr="00240E6F">
        <w:t xml:space="preserve"> deficiencies in their data may result in the employer paying higher contributions than otherwise would be the case if their data was of high quality </w:t>
      </w:r>
    </w:p>
    <w:p w14:paraId="55ADB82A" w14:textId="73986A9C" w:rsidR="00240E6F" w:rsidRDefault="00240E6F" w:rsidP="00240E6F">
      <w:pPr>
        <w:pStyle w:val="NumberHymans"/>
        <w:numPr>
          <w:ilvl w:val="0"/>
          <w:numId w:val="75"/>
        </w:numPr>
      </w:pPr>
      <w:r w:rsidRPr="00240E6F">
        <w:t xml:space="preserve">pay all ongoing contributions, including employer contributions determined by the actuary and set out in the </w:t>
      </w:r>
      <w:r w:rsidR="00BD2638">
        <w:t>R</w:t>
      </w:r>
      <w:r w:rsidRPr="00240E6F">
        <w:t xml:space="preserve">ates and </w:t>
      </w:r>
      <w:r w:rsidR="00BD2638">
        <w:t>A</w:t>
      </w:r>
      <w:r w:rsidRPr="00240E6F">
        <w:t xml:space="preserve">djustments certificate, promptly by the due date </w:t>
      </w:r>
    </w:p>
    <w:p w14:paraId="346C9DDA" w14:textId="77777777" w:rsidR="00240E6F" w:rsidRDefault="00240E6F" w:rsidP="00240E6F">
      <w:pPr>
        <w:pStyle w:val="NumberHymans"/>
        <w:numPr>
          <w:ilvl w:val="0"/>
          <w:numId w:val="75"/>
        </w:numPr>
      </w:pPr>
      <w:r w:rsidRPr="00240E6F">
        <w:t xml:space="preserve">develop a policy on certain discretions and exercise those discretions as permitted within the regulatory framework </w:t>
      </w:r>
    </w:p>
    <w:p w14:paraId="1FB4067F" w14:textId="77777777" w:rsidR="00240E6F" w:rsidRDefault="00240E6F" w:rsidP="00240E6F">
      <w:pPr>
        <w:pStyle w:val="NumberHymans"/>
        <w:numPr>
          <w:ilvl w:val="0"/>
          <w:numId w:val="75"/>
        </w:numPr>
      </w:pPr>
      <w:r w:rsidRPr="00240E6F">
        <w:lastRenderedPageBreak/>
        <w:t xml:space="preserve">make additional contributions in accordance with agreed arrangements in respect of, for example, augmentation of scheme benefits and early retirement strain </w:t>
      </w:r>
    </w:p>
    <w:p w14:paraId="708292F4" w14:textId="77777777" w:rsidR="00240E6F" w:rsidRDefault="00240E6F" w:rsidP="00240E6F">
      <w:pPr>
        <w:pStyle w:val="NumberHymans"/>
        <w:numPr>
          <w:ilvl w:val="0"/>
          <w:numId w:val="75"/>
        </w:numPr>
      </w:pPr>
      <w:r w:rsidRPr="00240E6F">
        <w:t xml:space="preserve">notify the administering authority promptly of all changes to active membership that affect future funding </w:t>
      </w:r>
    </w:p>
    <w:p w14:paraId="449C3215" w14:textId="3E118576" w:rsidR="00240E6F" w:rsidRPr="00240E6F" w:rsidRDefault="00240E6F" w:rsidP="008D48B7">
      <w:pPr>
        <w:pStyle w:val="NumberHymans"/>
        <w:numPr>
          <w:ilvl w:val="0"/>
          <w:numId w:val="75"/>
        </w:numPr>
      </w:pPr>
      <w:r w:rsidRPr="00240E6F">
        <w:t xml:space="preserve">Pay any exit payments on ceasing participation in the </w:t>
      </w:r>
      <w:r w:rsidR="00590EBB">
        <w:t>F</w:t>
      </w:r>
      <w:r w:rsidRPr="00240E6F">
        <w:t>und</w:t>
      </w:r>
      <w:r w:rsidR="00091C4B">
        <w:t xml:space="preserve">, </w:t>
      </w:r>
      <w:r w:rsidRPr="00240E6F">
        <w:t xml:space="preserve">timely provide the </w:t>
      </w:r>
      <w:r w:rsidR="00091C4B">
        <w:t>F</w:t>
      </w:r>
      <w:r w:rsidRPr="00240E6F">
        <w:t xml:space="preserve">und with accurate data and understand that the quality of the data provided to the </w:t>
      </w:r>
      <w:r w:rsidR="00091C4B">
        <w:t>F</w:t>
      </w:r>
      <w:r w:rsidRPr="00240E6F">
        <w:t xml:space="preserve">und will directly impact on the assessment of their liabilities and their contributions. </w:t>
      </w:r>
      <w:proofErr w:type="gramStart"/>
      <w:r w:rsidRPr="00240E6F">
        <w:t>In particular, any</w:t>
      </w:r>
      <w:proofErr w:type="gramEnd"/>
      <w:r w:rsidRPr="00240E6F">
        <w:t xml:space="preserve"> inaccuracies in data may result in the employer paying higher </w:t>
      </w:r>
      <w:r w:rsidR="00AC720A" w:rsidRPr="00AC720A">
        <w:t>contributions than otherwise would be the case if their data was of high qualit</w:t>
      </w:r>
      <w:r w:rsidR="00AC720A">
        <w:t>y.</w:t>
      </w:r>
    </w:p>
    <w:p w14:paraId="3523F99D" w14:textId="544D777A" w:rsidR="000B4361" w:rsidRPr="00940F15" w:rsidRDefault="00F001A2" w:rsidP="000B4361">
      <w:pPr>
        <w:pStyle w:val="Appendix2"/>
      </w:pPr>
      <w:bookmarkStart w:id="123" w:name="_Toc16078829"/>
      <w:bookmarkStart w:id="124" w:name="_Toc86162877"/>
      <w:r>
        <w:t>B3</w:t>
      </w:r>
      <w:r w:rsidR="00773FF9">
        <w:t xml:space="preserve"> </w:t>
      </w:r>
      <w:r w:rsidR="000B4361" w:rsidRPr="00940F15">
        <w:t xml:space="preserve">The </w:t>
      </w:r>
      <w:r w:rsidR="00356D53">
        <w:t>F</w:t>
      </w:r>
      <w:r w:rsidR="000B4361" w:rsidRPr="00940F15">
        <w:t xml:space="preserve">und </w:t>
      </w:r>
      <w:r w:rsidR="004D78FE">
        <w:t>a</w:t>
      </w:r>
      <w:r w:rsidR="000B4361" w:rsidRPr="00940F15">
        <w:t>ctuary</w:t>
      </w:r>
      <w:r w:rsidR="001A78EF">
        <w:t xml:space="preserve"> should</w:t>
      </w:r>
      <w:r w:rsidR="000B4361" w:rsidRPr="00940F15">
        <w:t>:</w:t>
      </w:r>
      <w:bookmarkEnd w:id="123"/>
      <w:bookmarkEnd w:id="124"/>
    </w:p>
    <w:p w14:paraId="037C3CF3" w14:textId="7DEAFB16" w:rsidR="005F4BB6" w:rsidRDefault="00EA4E6E" w:rsidP="005F4BB6">
      <w:pPr>
        <w:pStyle w:val="BodyTextGrey"/>
        <w:numPr>
          <w:ilvl w:val="6"/>
          <w:numId w:val="26"/>
        </w:numPr>
        <w:ind w:left="567" w:hanging="567"/>
        <w:rPr>
          <w:color w:val="455560"/>
        </w:rPr>
      </w:pPr>
      <w:r w:rsidRPr="008D48B7">
        <w:rPr>
          <w:color w:val="455560"/>
        </w:rPr>
        <w:t xml:space="preserve">prepare valuations including the setting of employers’ contribution rates at a level to ensure </w:t>
      </w:r>
      <w:r w:rsidR="00356D53">
        <w:rPr>
          <w:color w:val="455560"/>
        </w:rPr>
        <w:t>F</w:t>
      </w:r>
      <w:r w:rsidRPr="008D48B7">
        <w:rPr>
          <w:color w:val="455560"/>
        </w:rPr>
        <w:t xml:space="preserve">und solvency and long-term cost efficiency based on the assumptions set by the administering authority and having regard to the FSS and the LGPS Regulations </w:t>
      </w:r>
    </w:p>
    <w:p w14:paraId="212C5752" w14:textId="3AAF8456" w:rsidR="00330920" w:rsidRDefault="00EA4E6E" w:rsidP="005F4BB6">
      <w:pPr>
        <w:pStyle w:val="BodyTextGrey"/>
        <w:numPr>
          <w:ilvl w:val="6"/>
          <w:numId w:val="26"/>
        </w:numPr>
        <w:ind w:left="567" w:hanging="567"/>
        <w:rPr>
          <w:color w:val="455560"/>
        </w:rPr>
      </w:pPr>
      <w:r w:rsidRPr="008D48B7">
        <w:rPr>
          <w:color w:val="455560"/>
        </w:rPr>
        <w:t xml:space="preserve">provide advice so the </w:t>
      </w:r>
      <w:r w:rsidR="007976CE">
        <w:rPr>
          <w:color w:val="455560"/>
        </w:rPr>
        <w:t>F</w:t>
      </w:r>
      <w:r w:rsidRPr="008D48B7">
        <w:rPr>
          <w:color w:val="455560"/>
        </w:rPr>
        <w:t xml:space="preserve">und can set the necessary assumptions for the valuation </w:t>
      </w:r>
    </w:p>
    <w:p w14:paraId="4B73375D" w14:textId="7A74AF21" w:rsidR="005F4BB6" w:rsidRDefault="00EA4E6E" w:rsidP="005F4BB6">
      <w:pPr>
        <w:pStyle w:val="BodyTextGrey"/>
        <w:numPr>
          <w:ilvl w:val="6"/>
          <w:numId w:val="26"/>
        </w:numPr>
        <w:ind w:left="567" w:hanging="567"/>
        <w:rPr>
          <w:color w:val="455560"/>
        </w:rPr>
      </w:pPr>
      <w:r w:rsidRPr="008D48B7">
        <w:rPr>
          <w:color w:val="455560"/>
        </w:rPr>
        <w:t xml:space="preserve">prepare advice and calculations in connection with bulk transfers and the funding aspects of individual benefit-related matters such as pension strain costs, ill health retirement costs, compensatory added years costs, etc </w:t>
      </w:r>
    </w:p>
    <w:p w14:paraId="277B7511" w14:textId="76B45634" w:rsidR="005F4BB6" w:rsidRDefault="00EA4E6E" w:rsidP="005F4BB6">
      <w:pPr>
        <w:pStyle w:val="BodyTextGrey"/>
        <w:numPr>
          <w:ilvl w:val="6"/>
          <w:numId w:val="26"/>
        </w:numPr>
        <w:ind w:left="567" w:hanging="567"/>
        <w:rPr>
          <w:color w:val="455560"/>
        </w:rPr>
      </w:pPr>
      <w:r w:rsidRPr="008D48B7">
        <w:rPr>
          <w:color w:val="455560"/>
        </w:rPr>
        <w:t xml:space="preserve">provide advice and valuations to the </w:t>
      </w:r>
      <w:r w:rsidR="00FA7AFA">
        <w:rPr>
          <w:color w:val="455560"/>
        </w:rPr>
        <w:t>F</w:t>
      </w:r>
      <w:r w:rsidRPr="008D48B7">
        <w:rPr>
          <w:color w:val="455560"/>
        </w:rPr>
        <w:t xml:space="preserve">und so that it can make decisions on the exit of employers </w:t>
      </w:r>
    </w:p>
    <w:p w14:paraId="7E7C6411" w14:textId="05A27467" w:rsidR="005F4BB6" w:rsidRDefault="00EA4E6E" w:rsidP="005F4BB6">
      <w:pPr>
        <w:pStyle w:val="BodyTextGrey"/>
        <w:numPr>
          <w:ilvl w:val="6"/>
          <w:numId w:val="26"/>
        </w:numPr>
        <w:ind w:left="567" w:hanging="567"/>
        <w:rPr>
          <w:color w:val="455560"/>
        </w:rPr>
      </w:pPr>
      <w:r w:rsidRPr="008D48B7">
        <w:rPr>
          <w:color w:val="455560"/>
        </w:rPr>
        <w:t xml:space="preserve">provide advice to the </w:t>
      </w:r>
      <w:r w:rsidR="005B1DF2">
        <w:rPr>
          <w:color w:val="455560"/>
        </w:rPr>
        <w:t>F</w:t>
      </w:r>
      <w:r w:rsidRPr="008D48B7">
        <w:rPr>
          <w:color w:val="455560"/>
        </w:rPr>
        <w:t xml:space="preserve">und on bonds or other forms of security against the financial effect on the </w:t>
      </w:r>
      <w:r w:rsidR="005B1DF2">
        <w:rPr>
          <w:color w:val="455560"/>
        </w:rPr>
        <w:t>F</w:t>
      </w:r>
      <w:r w:rsidRPr="008D48B7">
        <w:rPr>
          <w:color w:val="455560"/>
        </w:rPr>
        <w:t xml:space="preserve">und of employer default </w:t>
      </w:r>
    </w:p>
    <w:p w14:paraId="2F1B69EC" w14:textId="445845B2" w:rsidR="005F4BB6" w:rsidRDefault="00EA4E6E" w:rsidP="005F4BB6">
      <w:pPr>
        <w:pStyle w:val="BodyTextGrey"/>
        <w:numPr>
          <w:ilvl w:val="6"/>
          <w:numId w:val="26"/>
        </w:numPr>
        <w:ind w:left="567" w:hanging="567"/>
        <w:rPr>
          <w:color w:val="455560"/>
        </w:rPr>
      </w:pPr>
      <w:r w:rsidRPr="008D48B7">
        <w:rPr>
          <w:color w:val="455560"/>
        </w:rPr>
        <w:t xml:space="preserve">assist the </w:t>
      </w:r>
      <w:r w:rsidR="005B1DF2">
        <w:rPr>
          <w:color w:val="455560"/>
        </w:rPr>
        <w:t>F</w:t>
      </w:r>
      <w:r w:rsidRPr="008D48B7">
        <w:rPr>
          <w:color w:val="455560"/>
        </w:rPr>
        <w:t xml:space="preserve">und in assessing whether employer contributions need to be revised between valuations as permitted or required by the regulations </w:t>
      </w:r>
    </w:p>
    <w:p w14:paraId="43E042A9" w14:textId="194382D5" w:rsidR="005F4BB6" w:rsidRDefault="00EA4E6E" w:rsidP="005F4BB6">
      <w:pPr>
        <w:pStyle w:val="BodyTextGrey"/>
        <w:numPr>
          <w:ilvl w:val="6"/>
          <w:numId w:val="26"/>
        </w:numPr>
        <w:ind w:left="567" w:hanging="567"/>
        <w:rPr>
          <w:color w:val="455560"/>
        </w:rPr>
      </w:pPr>
      <w:r w:rsidRPr="008D48B7">
        <w:rPr>
          <w:color w:val="455560"/>
        </w:rPr>
        <w:t xml:space="preserve">ensure that the </w:t>
      </w:r>
      <w:r w:rsidR="005B1DF2">
        <w:rPr>
          <w:color w:val="455560"/>
        </w:rPr>
        <w:t>F</w:t>
      </w:r>
      <w:r w:rsidRPr="008D48B7">
        <w:rPr>
          <w:color w:val="455560"/>
        </w:rPr>
        <w:t xml:space="preserve">und is aware of any professional guidance or other professional requirements that may be relevant in the role of advising the </w:t>
      </w:r>
      <w:r w:rsidR="00EE52C5">
        <w:rPr>
          <w:color w:val="455560"/>
        </w:rPr>
        <w:t>F</w:t>
      </w:r>
      <w:r w:rsidRPr="008D48B7">
        <w:rPr>
          <w:color w:val="455560"/>
        </w:rPr>
        <w:t>und</w:t>
      </w:r>
    </w:p>
    <w:p w14:paraId="561A462A" w14:textId="14DEB069" w:rsidR="00EA4E6E" w:rsidRPr="00EA4E6E" w:rsidRDefault="00C725E4" w:rsidP="008D48B7">
      <w:pPr>
        <w:pStyle w:val="BodyTextGrey"/>
        <w:numPr>
          <w:ilvl w:val="6"/>
          <w:numId w:val="26"/>
        </w:numPr>
        <w:ind w:left="567" w:hanging="567"/>
      </w:pPr>
      <w:r>
        <w:t>i</w:t>
      </w:r>
      <w:r w:rsidR="00EA4E6E" w:rsidRPr="00A17E90">
        <w:t xml:space="preserve">dentify to the </w:t>
      </w:r>
      <w:r w:rsidR="00EE52C5">
        <w:t>F</w:t>
      </w:r>
      <w:r w:rsidR="00EA4E6E" w:rsidRPr="00A17E90">
        <w:t xml:space="preserve">und and manage any potential conflicts of interest that may arise in the delivery </w:t>
      </w:r>
      <w:r>
        <w:t>of</w:t>
      </w:r>
      <w:r w:rsidR="00EA4E6E" w:rsidRPr="00A17E90">
        <w:t xml:space="preserve"> contractual arrangements to the </w:t>
      </w:r>
      <w:r>
        <w:t>F</w:t>
      </w:r>
      <w:r w:rsidR="00EA4E6E" w:rsidRPr="00A17E90">
        <w:t>und and other clients</w:t>
      </w:r>
    </w:p>
    <w:p w14:paraId="387ADB17" w14:textId="3E22774C" w:rsidR="00AF42F6" w:rsidRDefault="00AF42F6" w:rsidP="000B4361">
      <w:pPr>
        <w:pStyle w:val="Appendix2"/>
      </w:pPr>
      <w:r>
        <w:t xml:space="preserve">B4 </w:t>
      </w:r>
      <w:r w:rsidRPr="00AF42F6">
        <w:t>Local Pension Boards (LPB</w:t>
      </w:r>
      <w:r w:rsidR="008F2637">
        <w:t>s</w:t>
      </w:r>
      <w:r w:rsidR="00E56113">
        <w:t>)</w:t>
      </w:r>
      <w:r w:rsidRPr="00AF42F6">
        <w:t xml:space="preserve"> </w:t>
      </w:r>
    </w:p>
    <w:p w14:paraId="68E37F92" w14:textId="651CA66E" w:rsidR="00AF42F6" w:rsidRDefault="00AF42F6" w:rsidP="00AF42F6">
      <w:pPr>
        <w:pStyle w:val="NumberHymans"/>
        <w:numPr>
          <w:ilvl w:val="0"/>
          <w:numId w:val="0"/>
        </w:numPr>
      </w:pPr>
      <w:r w:rsidRPr="00AF42F6">
        <w:t xml:space="preserve">Local Pension Boards have responsibility to assist the administering authority to secure compliance with the LGPS regulations, other legislation relating to the governance and administration of the LGPS, any requirements imposed by the Regulator in relation to the LGPS, and to ensure the effective and efficient governance and administration of the LGPS. It will be for each fund to determine the input into the development of the FSS (as appropriate within </w:t>
      </w:r>
      <w:r w:rsidR="00705AE7">
        <w:t xml:space="preserve">each </w:t>
      </w:r>
      <w:r w:rsidRPr="00AF42F6">
        <w:t xml:space="preserve">fund’s own governance arrangements) however this may include: </w:t>
      </w:r>
    </w:p>
    <w:p w14:paraId="3CEB73CD" w14:textId="77777777" w:rsidR="00AF42F6" w:rsidRDefault="00AF42F6" w:rsidP="00AF42F6">
      <w:pPr>
        <w:pStyle w:val="BodyTextGrey"/>
        <w:numPr>
          <w:ilvl w:val="6"/>
          <w:numId w:val="25"/>
        </w:numPr>
        <w:ind w:left="567" w:hanging="567"/>
        <w:rPr>
          <w:color w:val="455560"/>
        </w:rPr>
      </w:pPr>
      <w:r w:rsidRPr="008D48B7">
        <w:rPr>
          <w:color w:val="455560"/>
        </w:rPr>
        <w:t xml:space="preserve">Assist with the development and review the FSS </w:t>
      </w:r>
    </w:p>
    <w:p w14:paraId="39BD493A" w14:textId="77777777" w:rsidR="00AF42F6" w:rsidRDefault="00AF42F6" w:rsidP="00AF42F6">
      <w:pPr>
        <w:pStyle w:val="BodyTextGrey"/>
        <w:numPr>
          <w:ilvl w:val="6"/>
          <w:numId w:val="25"/>
        </w:numPr>
        <w:ind w:left="567" w:hanging="567"/>
        <w:rPr>
          <w:color w:val="455560"/>
        </w:rPr>
      </w:pPr>
      <w:r w:rsidRPr="008D48B7">
        <w:rPr>
          <w:color w:val="455560"/>
        </w:rPr>
        <w:t xml:space="preserve">Review the compliance of scheme employers with their duties under the FSS, regulations and other relevant legislation </w:t>
      </w:r>
    </w:p>
    <w:p w14:paraId="33591960" w14:textId="3F3BDE84" w:rsidR="00BB540F" w:rsidRPr="008D48B7" w:rsidRDefault="00AF42F6" w:rsidP="008D48B7">
      <w:pPr>
        <w:pStyle w:val="BodyTextGrey"/>
        <w:numPr>
          <w:ilvl w:val="6"/>
          <w:numId w:val="25"/>
        </w:numPr>
        <w:ind w:left="567" w:hanging="567"/>
        <w:rPr>
          <w:color w:val="455560"/>
        </w:rPr>
      </w:pPr>
      <w:r w:rsidRPr="00AF42F6">
        <w:rPr>
          <w:color w:val="455560"/>
        </w:rPr>
        <w:t xml:space="preserve">Assist with the development of and review communications in relation to the FSS. </w:t>
      </w:r>
      <w:bookmarkStart w:id="125" w:name="_Toc16078830"/>
    </w:p>
    <w:p w14:paraId="55AA5736" w14:textId="67C9BED3" w:rsidR="00A17E90" w:rsidRPr="008D48B7" w:rsidRDefault="00A17E90" w:rsidP="008D48B7">
      <w:pPr>
        <w:pStyle w:val="NumberHymans"/>
        <w:numPr>
          <w:ilvl w:val="0"/>
          <w:numId w:val="0"/>
        </w:numPr>
        <w:rPr>
          <w:b/>
          <w:bCs/>
        </w:rPr>
      </w:pPr>
      <w:bookmarkStart w:id="126" w:name="_Toc86162878"/>
      <w:r w:rsidRPr="00A17E90">
        <w:rPr>
          <w:bCs/>
        </w:rPr>
        <w:t xml:space="preserve">B5 </w:t>
      </w:r>
      <w:bookmarkEnd w:id="125"/>
      <w:bookmarkEnd w:id="126"/>
      <w:r w:rsidRPr="008D48B7">
        <w:rPr>
          <w:b/>
          <w:bCs/>
        </w:rPr>
        <w:t xml:space="preserve">Employer guarantors </w:t>
      </w:r>
    </w:p>
    <w:p w14:paraId="75B5DB48" w14:textId="77777777" w:rsidR="00A17E90" w:rsidRDefault="00A17E90" w:rsidP="00582B64">
      <w:pPr>
        <w:pStyle w:val="NumberHymans"/>
        <w:numPr>
          <w:ilvl w:val="0"/>
          <w:numId w:val="29"/>
        </w:numPr>
      </w:pPr>
      <w:r w:rsidRPr="00A17E90">
        <w:t xml:space="preserve">Department for Education - To pay cessation debts in the case of academy cessations (where the obligations are not being transferred to another MAT) and to consider using intervention powers if an academy is deemed to be in breach of the regulations. </w:t>
      </w:r>
    </w:p>
    <w:p w14:paraId="4A6176A9" w14:textId="731D7872" w:rsidR="00A17E90" w:rsidRDefault="00A17E90" w:rsidP="00A17E90">
      <w:pPr>
        <w:pStyle w:val="NumberHymans"/>
        <w:numPr>
          <w:ilvl w:val="0"/>
          <w:numId w:val="29"/>
        </w:numPr>
      </w:pPr>
      <w:r w:rsidRPr="00A17E90">
        <w:lastRenderedPageBreak/>
        <w:t>Other bodies with a financial interest (outsourcing employers)</w:t>
      </w:r>
    </w:p>
    <w:p w14:paraId="714A9310" w14:textId="77777777" w:rsidR="009746CD" w:rsidRDefault="009746CD" w:rsidP="008D48B7">
      <w:pPr>
        <w:pStyle w:val="NumberHymans"/>
        <w:numPr>
          <w:ilvl w:val="0"/>
          <w:numId w:val="0"/>
        </w:numPr>
        <w:rPr>
          <w:b/>
          <w:bCs/>
        </w:rPr>
      </w:pPr>
    </w:p>
    <w:p w14:paraId="1A04F78A" w14:textId="46502799" w:rsidR="00A17E90" w:rsidRPr="008D48B7" w:rsidRDefault="00A17E90" w:rsidP="008D48B7">
      <w:pPr>
        <w:pStyle w:val="NumberHymans"/>
        <w:numPr>
          <w:ilvl w:val="0"/>
          <w:numId w:val="0"/>
        </w:numPr>
        <w:rPr>
          <w:b/>
          <w:bCs/>
        </w:rPr>
      </w:pPr>
      <w:r w:rsidRPr="008D48B7">
        <w:rPr>
          <w:b/>
          <w:bCs/>
        </w:rPr>
        <w:t>B</w:t>
      </w:r>
      <w:r w:rsidR="008D5926">
        <w:rPr>
          <w:b/>
          <w:bCs/>
        </w:rPr>
        <w:t>6</w:t>
      </w:r>
      <w:r w:rsidRPr="008D48B7">
        <w:rPr>
          <w:b/>
          <w:bCs/>
        </w:rPr>
        <w:t xml:space="preserve"> Other parties</w:t>
      </w:r>
    </w:p>
    <w:p w14:paraId="2F21FC5C" w14:textId="29DF21CF" w:rsidR="00A17E90" w:rsidRDefault="0032468F" w:rsidP="008D48B7">
      <w:pPr>
        <w:pStyle w:val="NumberHymans"/>
        <w:numPr>
          <w:ilvl w:val="6"/>
          <w:numId w:val="24"/>
        </w:numPr>
        <w:ind w:left="567" w:hanging="567"/>
      </w:pPr>
      <w:r>
        <w:t>I</w:t>
      </w:r>
      <w:r w:rsidR="0080794F">
        <w:t>nternal and external i</w:t>
      </w:r>
      <w:r w:rsidR="000B4361">
        <w:t xml:space="preserve">nvestment advisers ensure the </w:t>
      </w:r>
      <w:r>
        <w:t>I</w:t>
      </w:r>
      <w:r w:rsidR="002F5379">
        <w:t xml:space="preserve">nvestment </w:t>
      </w:r>
      <w:r>
        <w:t>S</w:t>
      </w:r>
      <w:r w:rsidR="002F5379">
        <w:t xml:space="preserve">trategy </w:t>
      </w:r>
      <w:r>
        <w:t>S</w:t>
      </w:r>
      <w:r w:rsidR="002F5379">
        <w:t xml:space="preserve">tatement (ISS) is </w:t>
      </w:r>
      <w:r w:rsidR="0080794F">
        <w:t xml:space="preserve">consistent with the </w:t>
      </w:r>
      <w:r>
        <w:t>F</w:t>
      </w:r>
      <w:r w:rsidR="002F5379">
        <w:t xml:space="preserve">unding </w:t>
      </w:r>
      <w:r>
        <w:t>S</w:t>
      </w:r>
      <w:r w:rsidR="002F5379">
        <w:t xml:space="preserve">trategy </w:t>
      </w:r>
      <w:r>
        <w:t>S</w:t>
      </w:r>
      <w:r w:rsidR="002F5379">
        <w:t xml:space="preserve">tatement </w:t>
      </w:r>
    </w:p>
    <w:p w14:paraId="55D2B2EF" w14:textId="259F71CD" w:rsidR="00A17E90" w:rsidRDefault="00404341" w:rsidP="008D48B7">
      <w:pPr>
        <w:pStyle w:val="NumberHymans"/>
        <w:numPr>
          <w:ilvl w:val="6"/>
          <w:numId w:val="24"/>
        </w:numPr>
        <w:ind w:left="567" w:hanging="567"/>
      </w:pPr>
      <w:r>
        <w:t>I</w:t>
      </w:r>
      <w:r w:rsidR="000B4361">
        <w:t xml:space="preserve">nvestment managers, custodians and bankers play their part in the effective investment and dis-investment of </w:t>
      </w:r>
      <w:r>
        <w:t>F</w:t>
      </w:r>
      <w:r w:rsidR="000B4361">
        <w:t>und assets in line with the ISS</w:t>
      </w:r>
    </w:p>
    <w:p w14:paraId="02A3DBE4" w14:textId="3E8E980D" w:rsidR="00A17E90" w:rsidRDefault="00404341" w:rsidP="008D48B7">
      <w:pPr>
        <w:pStyle w:val="NumberHymans"/>
        <w:numPr>
          <w:ilvl w:val="6"/>
          <w:numId w:val="24"/>
        </w:numPr>
        <w:ind w:left="567" w:hanging="567"/>
      </w:pPr>
      <w:r>
        <w:t>A</w:t>
      </w:r>
      <w:r w:rsidR="000B4361">
        <w:t>uditors comply with standards</w:t>
      </w:r>
      <w:r w:rsidR="0080794F">
        <w:t xml:space="preserve">, </w:t>
      </w:r>
      <w:r w:rsidR="000B4361">
        <w:t xml:space="preserve">ensure </w:t>
      </w:r>
      <w:r>
        <w:t>F</w:t>
      </w:r>
      <w:r w:rsidR="000B4361">
        <w:t>und compliance with requirements, monitor and advise on fraud detection</w:t>
      </w:r>
      <w:r w:rsidR="00845BBE">
        <w:t>,</w:t>
      </w:r>
      <w:r w:rsidR="000B4361">
        <w:t xml:space="preserve"> and sign</w:t>
      </w:r>
      <w:r w:rsidR="0080794F">
        <w:t>-</w:t>
      </w:r>
      <w:r w:rsidR="000B4361">
        <w:t xml:space="preserve">off annual reports and financial statements </w:t>
      </w:r>
    </w:p>
    <w:p w14:paraId="39C2ED06" w14:textId="6CD2A72C" w:rsidR="00A17E90" w:rsidRDefault="00404341" w:rsidP="008D48B7">
      <w:pPr>
        <w:pStyle w:val="NumberHymans"/>
        <w:numPr>
          <w:ilvl w:val="6"/>
          <w:numId w:val="24"/>
        </w:numPr>
        <w:ind w:left="567" w:hanging="567"/>
      </w:pPr>
      <w:r>
        <w:t>G</w:t>
      </w:r>
      <w:r w:rsidR="000B4361">
        <w:t xml:space="preserve">overnance advisers may be </w:t>
      </w:r>
      <w:r w:rsidR="0080794F">
        <w:t xml:space="preserve">asked to </w:t>
      </w:r>
      <w:r w:rsidR="000B4361">
        <w:t xml:space="preserve">advise the </w:t>
      </w:r>
      <w:r w:rsidR="0080794F">
        <w:t>a</w:t>
      </w:r>
      <w:r w:rsidR="000B4361">
        <w:t xml:space="preserve">dministering </w:t>
      </w:r>
      <w:r w:rsidR="0080794F">
        <w:t>a</w:t>
      </w:r>
      <w:r w:rsidR="000B4361">
        <w:t xml:space="preserve">uthority on processes and working methods </w:t>
      </w:r>
    </w:p>
    <w:p w14:paraId="6A91DA41" w14:textId="671DAFC0" w:rsidR="00A17E90" w:rsidRDefault="00404341" w:rsidP="008D48B7">
      <w:pPr>
        <w:pStyle w:val="NumberHymans"/>
        <w:numPr>
          <w:ilvl w:val="6"/>
          <w:numId w:val="24"/>
        </w:numPr>
        <w:ind w:left="567" w:hanging="567"/>
      </w:pPr>
      <w:r>
        <w:t>I</w:t>
      </w:r>
      <w:r w:rsidR="0080794F">
        <w:t xml:space="preserve">nternal and external </w:t>
      </w:r>
      <w:r w:rsidR="000B4361">
        <w:t>legal advisers ensure the</w:t>
      </w:r>
      <w:r>
        <w:t xml:space="preserve"> F</w:t>
      </w:r>
      <w:r w:rsidR="000B4361">
        <w:t>und</w:t>
      </w:r>
      <w:r w:rsidR="00845BBE">
        <w:t xml:space="preserve"> complies </w:t>
      </w:r>
      <w:r w:rsidR="000B4361">
        <w:t xml:space="preserve">with all regulations and broader local government requirements, including the </w:t>
      </w:r>
      <w:r w:rsidR="00492D1D">
        <w:t>a</w:t>
      </w:r>
      <w:r w:rsidR="000B4361">
        <w:t xml:space="preserve">dministering </w:t>
      </w:r>
      <w:r w:rsidR="00492D1D">
        <w:t>a</w:t>
      </w:r>
      <w:r w:rsidR="000B4361">
        <w:t>uthority’s own procedures</w:t>
      </w:r>
    </w:p>
    <w:p w14:paraId="38095E9B" w14:textId="1996EE6F" w:rsidR="00C317A9" w:rsidRDefault="00404341" w:rsidP="008D48B7">
      <w:pPr>
        <w:pStyle w:val="NumberHymans"/>
        <w:numPr>
          <w:ilvl w:val="6"/>
          <w:numId w:val="24"/>
        </w:numPr>
        <w:ind w:left="567" w:hanging="567"/>
      </w:pPr>
      <w:r>
        <w:t>T</w:t>
      </w:r>
      <w:r w:rsidR="00BB540F">
        <w:t xml:space="preserve">he </w:t>
      </w:r>
      <w:r w:rsidR="001B5AD7">
        <w:t>Ministry for Housing, Communit</w:t>
      </w:r>
      <w:r w:rsidR="00D726A9">
        <w:t>ies</w:t>
      </w:r>
      <w:r w:rsidR="001B5AD7">
        <w:t xml:space="preserve"> and Local Government</w:t>
      </w:r>
      <w:r w:rsidR="00517D88">
        <w:t>, a</w:t>
      </w:r>
      <w:r w:rsidR="00845BBE">
        <w:t xml:space="preserve">ssisted by </w:t>
      </w:r>
      <w:r w:rsidR="000B4361">
        <w:t>the Government Actuary’s Department</w:t>
      </w:r>
      <w:r w:rsidR="00492D1D">
        <w:t xml:space="preserve"> </w:t>
      </w:r>
      <w:r w:rsidR="000B4361">
        <w:t xml:space="preserve">and the Scheme Advisory Board, work with LGPS </w:t>
      </w:r>
      <w:r w:rsidR="00845BBE">
        <w:t>f</w:t>
      </w:r>
      <w:r w:rsidR="000B4361">
        <w:t>unds to meet Section 13 requirements.</w:t>
      </w:r>
    </w:p>
    <w:p w14:paraId="3BAE4710" w14:textId="77777777" w:rsidR="00C317A9" w:rsidRDefault="00C317A9" w:rsidP="00C317A9">
      <w:pPr>
        <w:pStyle w:val="NumberHymans"/>
        <w:numPr>
          <w:ilvl w:val="0"/>
          <w:numId w:val="0"/>
        </w:numPr>
        <w:ind w:left="567"/>
      </w:pPr>
    </w:p>
    <w:p w14:paraId="24BF94E4" w14:textId="77777777" w:rsidR="00C317A9" w:rsidRDefault="00C317A9" w:rsidP="00C317A9">
      <w:pPr>
        <w:pStyle w:val="NumberHymans"/>
        <w:numPr>
          <w:ilvl w:val="0"/>
          <w:numId w:val="0"/>
        </w:numPr>
        <w:ind w:left="567"/>
      </w:pPr>
    </w:p>
    <w:p w14:paraId="551BE3A9" w14:textId="4E45D697" w:rsidR="000B7EC6" w:rsidRPr="00AD1463" w:rsidRDefault="000B4361" w:rsidP="000B7EC6">
      <w:pPr>
        <w:pStyle w:val="Appendix1"/>
      </w:pPr>
      <w:r>
        <w:br w:type="page"/>
      </w:r>
      <w:bookmarkStart w:id="127" w:name="_Toc174969029"/>
      <w:bookmarkStart w:id="128" w:name="_Toc16081864"/>
      <w:bookmarkStart w:id="129" w:name="_Toc16081912"/>
      <w:bookmarkStart w:id="130" w:name="_Toc75375189"/>
      <w:bookmarkStart w:id="131" w:name="_Toc75445258"/>
      <w:bookmarkStart w:id="132" w:name="_Toc110256351"/>
      <w:r w:rsidR="000B7EC6" w:rsidRPr="00AD1463">
        <w:lastRenderedPageBreak/>
        <w:t xml:space="preserve">Appendix </w:t>
      </w:r>
      <w:r w:rsidR="003B440E">
        <w:t>C</w:t>
      </w:r>
      <w:r w:rsidR="000B7EC6" w:rsidRPr="00AD1463">
        <w:t xml:space="preserve"> – </w:t>
      </w:r>
      <w:r w:rsidR="000B7EC6">
        <w:t>Glossary</w:t>
      </w:r>
      <w:bookmarkEnd w:id="127"/>
      <w:r w:rsidR="000B7EC6">
        <w:t xml:space="preserve"> </w:t>
      </w:r>
    </w:p>
    <w:p w14:paraId="641935FB" w14:textId="77777777" w:rsidR="00D76820" w:rsidRPr="008D48B7" w:rsidRDefault="00D76820" w:rsidP="008D48B7">
      <w:pPr>
        <w:pStyle w:val="BodyTextGrey"/>
        <w:rPr>
          <w:b/>
          <w:bCs/>
        </w:rPr>
      </w:pPr>
      <w:r w:rsidRPr="008D48B7">
        <w:rPr>
          <w:b/>
          <w:bCs/>
        </w:rPr>
        <w:t>Actuarial certificates</w:t>
      </w:r>
    </w:p>
    <w:p w14:paraId="3638C2D0" w14:textId="68A67A16" w:rsidR="00D76820" w:rsidRPr="008D48B7" w:rsidRDefault="00D76820" w:rsidP="008D48B7">
      <w:pPr>
        <w:pStyle w:val="BodyTextGrey"/>
      </w:pPr>
      <w:r w:rsidRPr="008D48B7">
        <w:t xml:space="preserve">A statement of the contributions payable by the employer (see also </w:t>
      </w:r>
      <w:r w:rsidR="0008148A">
        <w:t>R</w:t>
      </w:r>
      <w:r w:rsidRPr="008D48B7">
        <w:t xml:space="preserve">ates and </w:t>
      </w:r>
      <w:r w:rsidR="0008148A">
        <w:t>A</w:t>
      </w:r>
      <w:r w:rsidRPr="008D48B7">
        <w:t>djustments certificate). The effective date is 12 months after the completion of the valuation.</w:t>
      </w:r>
    </w:p>
    <w:p w14:paraId="3A967D3B" w14:textId="77777777" w:rsidR="00D76820" w:rsidRPr="008D48B7" w:rsidRDefault="00D76820" w:rsidP="008D48B7">
      <w:pPr>
        <w:pStyle w:val="BodyTextGrey"/>
        <w:rPr>
          <w:b/>
          <w:bCs/>
        </w:rPr>
      </w:pPr>
      <w:r w:rsidRPr="008D48B7">
        <w:rPr>
          <w:b/>
          <w:bCs/>
        </w:rPr>
        <w:t>Actuarial valuation</w:t>
      </w:r>
    </w:p>
    <w:p w14:paraId="3A4F07D7" w14:textId="617FD051" w:rsidR="00D76820" w:rsidRPr="008D48B7" w:rsidRDefault="00D76820" w:rsidP="008D48B7">
      <w:pPr>
        <w:pStyle w:val="BodyTextGrey"/>
      </w:pPr>
      <w:r w:rsidRPr="008D48B7">
        <w:t xml:space="preserve">An investigation by an actuary, appointed by an </w:t>
      </w:r>
      <w:r w:rsidR="0008148A">
        <w:t>a</w:t>
      </w:r>
      <w:r w:rsidRPr="008D48B7">
        <w:t xml:space="preserve">dministering </w:t>
      </w:r>
      <w:r w:rsidR="0008148A">
        <w:t>a</w:t>
      </w:r>
      <w:r w:rsidRPr="008D48B7">
        <w:t>uthority</w:t>
      </w:r>
      <w:r w:rsidR="00643622">
        <w:t>,</w:t>
      </w:r>
      <w:r w:rsidRPr="008D48B7">
        <w:t xml:space="preserve"> into the costs of the scheme and the ability of the </w:t>
      </w:r>
      <w:r w:rsidR="00643622">
        <w:t>F</w:t>
      </w:r>
      <w:r w:rsidRPr="008D48B7">
        <w:t>und managed by that authority to meet its liabilities. This assesses the funding level and recommended employer contribution rates based on estimating the cost of pensions both in payment and those yet to be paid and comparing this to the value of the assets held in the Fund. Valuations take place every three years (triennial).</w:t>
      </w:r>
    </w:p>
    <w:p w14:paraId="04ECA0EB" w14:textId="43E52CE4" w:rsidR="00D76820" w:rsidRPr="008D48B7" w:rsidRDefault="00D76820" w:rsidP="008D48B7">
      <w:pPr>
        <w:pStyle w:val="BodyTextGrey"/>
        <w:rPr>
          <w:b/>
          <w:bCs/>
        </w:rPr>
      </w:pPr>
      <w:r w:rsidRPr="008D48B7">
        <w:rPr>
          <w:b/>
          <w:bCs/>
        </w:rPr>
        <w:t xml:space="preserve">Administering </w:t>
      </w:r>
      <w:r w:rsidR="00A62937">
        <w:rPr>
          <w:b/>
          <w:bCs/>
        </w:rPr>
        <w:t>a</w:t>
      </w:r>
      <w:r w:rsidRPr="008D48B7">
        <w:rPr>
          <w:b/>
          <w:bCs/>
        </w:rPr>
        <w:t xml:space="preserve">uthority (referred to as ‘the </w:t>
      </w:r>
      <w:r w:rsidR="005931E3">
        <w:rPr>
          <w:b/>
          <w:bCs/>
        </w:rPr>
        <w:t>F</w:t>
      </w:r>
      <w:r w:rsidRPr="008D48B7">
        <w:rPr>
          <w:b/>
          <w:bCs/>
        </w:rPr>
        <w:t>und’)</w:t>
      </w:r>
    </w:p>
    <w:p w14:paraId="04E61ABC" w14:textId="4A04F461" w:rsidR="00D76820" w:rsidRPr="008D48B7" w:rsidRDefault="00D76820" w:rsidP="008D48B7">
      <w:pPr>
        <w:pStyle w:val="BodyTextGrey"/>
      </w:pPr>
      <w:r w:rsidRPr="008D48B7">
        <w:t xml:space="preserve">A body listed in Part 1 of Schedule 3 of the regulations with a statutory duty to manage and administer the LGPS and maintain a pension fund (the </w:t>
      </w:r>
      <w:r w:rsidR="00EF6F99">
        <w:t>F</w:t>
      </w:r>
      <w:r w:rsidRPr="008D48B7">
        <w:t>und). Usually, but not restricted to being, a local authority.</w:t>
      </w:r>
    </w:p>
    <w:p w14:paraId="0A9C5D17" w14:textId="77777777" w:rsidR="00D76820" w:rsidRPr="008D48B7" w:rsidRDefault="00D76820" w:rsidP="008D48B7">
      <w:pPr>
        <w:pStyle w:val="BodyTextGrey"/>
        <w:rPr>
          <w:b/>
          <w:bCs/>
        </w:rPr>
      </w:pPr>
      <w:r w:rsidRPr="008D48B7">
        <w:rPr>
          <w:b/>
          <w:bCs/>
        </w:rPr>
        <w:t>Admission agreement</w:t>
      </w:r>
    </w:p>
    <w:p w14:paraId="2BABF713" w14:textId="6BFC3236" w:rsidR="00D76820" w:rsidRPr="008D48B7" w:rsidRDefault="00D76820" w:rsidP="008D48B7">
      <w:pPr>
        <w:pStyle w:val="BodyTextGrey"/>
      </w:pPr>
      <w:r w:rsidRPr="008D48B7">
        <w:t>A written agreement which provides for a body to participate in the LGPS as a scheme employer</w:t>
      </w:r>
      <w:r w:rsidR="00C01C12">
        <w:t>.</w:t>
      </w:r>
    </w:p>
    <w:p w14:paraId="7F3264D2" w14:textId="77777777" w:rsidR="00D76820" w:rsidRPr="008D48B7" w:rsidRDefault="00D76820" w:rsidP="008D48B7">
      <w:pPr>
        <w:pStyle w:val="BodyTextGrey"/>
        <w:rPr>
          <w:b/>
          <w:bCs/>
        </w:rPr>
      </w:pPr>
      <w:r w:rsidRPr="008D48B7">
        <w:rPr>
          <w:b/>
          <w:bCs/>
        </w:rPr>
        <w:t>Assumptions</w:t>
      </w:r>
    </w:p>
    <w:p w14:paraId="343608AB" w14:textId="2AB03DA0" w:rsidR="00432759" w:rsidRPr="008D48B7" w:rsidRDefault="00D76820">
      <w:pPr>
        <w:pStyle w:val="BodyTextGrey"/>
      </w:pPr>
      <w:r w:rsidRPr="008D48B7">
        <w:t>Forecasts of future experience which impact the costs of the scheme. For example, pay growth, longevity of pensioners, inflation, and investment returns</w:t>
      </w:r>
      <w:r w:rsidR="008E212E" w:rsidRPr="008D48B7">
        <w:t>,</w:t>
      </w:r>
    </w:p>
    <w:p w14:paraId="5198C6E6" w14:textId="77777777" w:rsidR="00432759" w:rsidRPr="004F5C25" w:rsidRDefault="00432759">
      <w:pPr>
        <w:pStyle w:val="BodyTextGrey"/>
        <w:rPr>
          <w:b/>
          <w:bCs/>
        </w:rPr>
      </w:pPr>
      <w:r w:rsidRPr="004F5C25">
        <w:rPr>
          <w:b/>
          <w:bCs/>
        </w:rPr>
        <w:t>Code of Practice</w:t>
      </w:r>
    </w:p>
    <w:p w14:paraId="0B09680E" w14:textId="2D6300B1" w:rsidR="00D76820" w:rsidRPr="008D48B7" w:rsidRDefault="00432759" w:rsidP="008D48B7">
      <w:pPr>
        <w:pStyle w:val="BodyTextGrey"/>
      </w:pPr>
      <w:r w:rsidRPr="008D48B7">
        <w:t>The Pens</w:t>
      </w:r>
      <w:r w:rsidR="00D76820" w:rsidRPr="008E212E">
        <w:t>ions Regulator’s General Code of Practice.</w:t>
      </w:r>
    </w:p>
    <w:p w14:paraId="02E9A5CD" w14:textId="77777777" w:rsidR="00D76820" w:rsidRPr="008D48B7" w:rsidRDefault="00D76820" w:rsidP="008D48B7">
      <w:pPr>
        <w:pStyle w:val="BodyTextGrey"/>
        <w:rPr>
          <w:b/>
          <w:bCs/>
        </w:rPr>
      </w:pPr>
      <w:r w:rsidRPr="008D48B7">
        <w:rPr>
          <w:b/>
          <w:bCs/>
        </w:rPr>
        <w:t>Debt spreading arrangement</w:t>
      </w:r>
    </w:p>
    <w:p w14:paraId="588A4C3D" w14:textId="77777777" w:rsidR="00D76820" w:rsidRPr="008D48B7" w:rsidRDefault="00D76820" w:rsidP="008D48B7">
      <w:pPr>
        <w:pStyle w:val="BodyTextGrey"/>
      </w:pPr>
      <w:r w:rsidRPr="008D48B7">
        <w:t xml:space="preserve">The ability to spread an exit payment over </w:t>
      </w:r>
      <w:proofErr w:type="gramStart"/>
      <w:r w:rsidRPr="008D48B7">
        <w:t>a period of time</w:t>
      </w:r>
      <w:proofErr w:type="gramEnd"/>
    </w:p>
    <w:p w14:paraId="4C9BA4CA" w14:textId="77777777" w:rsidR="00D76820" w:rsidRPr="008D48B7" w:rsidRDefault="00D76820" w:rsidP="008D48B7">
      <w:pPr>
        <w:pStyle w:val="BodyTextGrey"/>
        <w:rPr>
          <w:b/>
          <w:bCs/>
        </w:rPr>
      </w:pPr>
      <w:r w:rsidRPr="008D48B7">
        <w:rPr>
          <w:b/>
          <w:bCs/>
        </w:rPr>
        <w:t>Deferred debt agreement</w:t>
      </w:r>
    </w:p>
    <w:p w14:paraId="0A0DC80E" w14:textId="77777777" w:rsidR="00D76820" w:rsidRPr="008D48B7" w:rsidRDefault="00D76820" w:rsidP="008D48B7">
      <w:pPr>
        <w:pStyle w:val="BodyTextGrey"/>
      </w:pPr>
      <w:r w:rsidRPr="008D48B7">
        <w:t>An agreement for an employer to continue to participate in the LGPS without any contributing scheme members</w:t>
      </w:r>
    </w:p>
    <w:p w14:paraId="4DC07F6D" w14:textId="77777777" w:rsidR="00D76820" w:rsidRPr="008D48B7" w:rsidRDefault="00D76820" w:rsidP="008D48B7">
      <w:pPr>
        <w:pStyle w:val="BodyTextGrey"/>
        <w:rPr>
          <w:b/>
          <w:bCs/>
        </w:rPr>
      </w:pPr>
      <w:r w:rsidRPr="008D48B7">
        <w:rPr>
          <w:b/>
          <w:bCs/>
        </w:rPr>
        <w:t>Employer covenant</w:t>
      </w:r>
    </w:p>
    <w:p w14:paraId="6CE5573B" w14:textId="77777777" w:rsidR="00D76820" w:rsidRPr="008D48B7" w:rsidRDefault="00D76820" w:rsidP="008D48B7">
      <w:pPr>
        <w:pStyle w:val="BodyTextGrey"/>
      </w:pPr>
      <w:r w:rsidRPr="008D48B7">
        <w:t>The extent of the employer’s legal obligation and financial ability to support its pension scheme now and in the future.</w:t>
      </w:r>
    </w:p>
    <w:p w14:paraId="35505C15" w14:textId="77777777" w:rsidR="00D76820" w:rsidRPr="008D48B7" w:rsidRDefault="00D76820" w:rsidP="008D48B7">
      <w:pPr>
        <w:pStyle w:val="BodyTextGrey"/>
        <w:rPr>
          <w:b/>
          <w:bCs/>
        </w:rPr>
      </w:pPr>
      <w:r w:rsidRPr="008D48B7">
        <w:rPr>
          <w:b/>
          <w:bCs/>
        </w:rPr>
        <w:t>Funding level</w:t>
      </w:r>
    </w:p>
    <w:p w14:paraId="66E96FF6" w14:textId="77777777" w:rsidR="00D76820" w:rsidRPr="008D48B7" w:rsidRDefault="00D76820" w:rsidP="008D48B7">
      <w:pPr>
        <w:pStyle w:val="BodyTextGrey"/>
      </w:pPr>
      <w:r w:rsidRPr="008D48B7">
        <w:t>The funding level is the value of assets compares with the liabilities. It can be expressed as a ratio of the assets and liabilities (known as the funding level) or as the difference between the assets and liabilities (referred to as a surplus or deficit).</w:t>
      </w:r>
    </w:p>
    <w:p w14:paraId="24792482" w14:textId="77777777" w:rsidR="00D76820" w:rsidRPr="008D48B7" w:rsidRDefault="00D76820" w:rsidP="008D48B7">
      <w:pPr>
        <w:pStyle w:val="BodyTextGrey"/>
        <w:rPr>
          <w:b/>
          <w:bCs/>
        </w:rPr>
      </w:pPr>
      <w:r w:rsidRPr="008D48B7">
        <w:rPr>
          <w:b/>
          <w:bCs/>
        </w:rPr>
        <w:t>Fund valuation date</w:t>
      </w:r>
    </w:p>
    <w:p w14:paraId="567A5788" w14:textId="77777777" w:rsidR="00D76820" w:rsidRPr="008D48B7" w:rsidRDefault="00D76820" w:rsidP="008D48B7">
      <w:pPr>
        <w:pStyle w:val="BodyTextGrey"/>
      </w:pPr>
      <w:r w:rsidRPr="008D48B7">
        <w:t>The effective date of the triennial fund valuation.</w:t>
      </w:r>
    </w:p>
    <w:p w14:paraId="2E7CE11C" w14:textId="77777777" w:rsidR="00D76820" w:rsidRPr="00D83136" w:rsidRDefault="00D76820" w:rsidP="008D48B7">
      <w:pPr>
        <w:pStyle w:val="BodyTextGrey"/>
        <w:rPr>
          <w:b/>
          <w:bCs/>
        </w:rPr>
      </w:pPr>
      <w:r w:rsidRPr="00D83136">
        <w:rPr>
          <w:b/>
          <w:bCs/>
        </w:rPr>
        <w:lastRenderedPageBreak/>
        <w:t>Guarantee / guarantor</w:t>
      </w:r>
    </w:p>
    <w:p w14:paraId="07D4CDCF" w14:textId="3B200C53" w:rsidR="00D76820" w:rsidRDefault="00D76820" w:rsidP="008D48B7">
      <w:pPr>
        <w:pStyle w:val="BodyTextGrey"/>
      </w:pPr>
      <w:r w:rsidRPr="005039D0">
        <w:t xml:space="preserve">A formal promise by a third party (the guarantor) that it will meet any pension obligations not met by a specified employer. The presence of a guarantor will mean, for instance, that the </w:t>
      </w:r>
      <w:r w:rsidR="00E11638">
        <w:t>F</w:t>
      </w:r>
      <w:r w:rsidRPr="005039D0">
        <w:t>und can consider the employer’s covenant to be as strong as its guarantor’s.</w:t>
      </w:r>
    </w:p>
    <w:p w14:paraId="09E8417D" w14:textId="77777777" w:rsidR="00D76820" w:rsidRPr="00D83136" w:rsidRDefault="00D76820" w:rsidP="008D48B7">
      <w:pPr>
        <w:pStyle w:val="BodyTextGrey"/>
        <w:rPr>
          <w:b/>
          <w:bCs/>
        </w:rPr>
      </w:pPr>
      <w:r w:rsidRPr="00D83136">
        <w:rPr>
          <w:b/>
          <w:bCs/>
        </w:rPr>
        <w:t>Local Pension Board</w:t>
      </w:r>
    </w:p>
    <w:p w14:paraId="2E25103C" w14:textId="2FAEED30" w:rsidR="00D76820" w:rsidRPr="005039D0" w:rsidRDefault="00D76820" w:rsidP="008D48B7">
      <w:pPr>
        <w:pStyle w:val="BodyTextGrey"/>
      </w:pPr>
      <w:r>
        <w:t xml:space="preserve">The board established to assist the </w:t>
      </w:r>
      <w:r w:rsidR="006729C2">
        <w:t>a</w:t>
      </w:r>
      <w:r>
        <w:t xml:space="preserve">dministering </w:t>
      </w:r>
      <w:r w:rsidR="006729C2">
        <w:t>a</w:t>
      </w:r>
      <w:r>
        <w:t xml:space="preserve">uthority as the Scheme Manager for each </w:t>
      </w:r>
      <w:r w:rsidR="006729C2">
        <w:t>f</w:t>
      </w:r>
      <w:r>
        <w:t>und.</w:t>
      </w:r>
    </w:p>
    <w:p w14:paraId="5EEC8DA2" w14:textId="77777777" w:rsidR="00D76820" w:rsidRPr="008D48B7" w:rsidRDefault="00D76820" w:rsidP="008D48B7">
      <w:pPr>
        <w:pStyle w:val="BodyTextGrey"/>
        <w:rPr>
          <w:b/>
          <w:bCs/>
        </w:rPr>
      </w:pPr>
      <w:r w:rsidRPr="008D48B7">
        <w:rPr>
          <w:b/>
          <w:bCs/>
        </w:rPr>
        <w:t>Non-statutory guidance</w:t>
      </w:r>
    </w:p>
    <w:p w14:paraId="340276C4" w14:textId="4EC37DF8" w:rsidR="00D76820" w:rsidRPr="008D48B7" w:rsidRDefault="00D76820" w:rsidP="008D48B7">
      <w:pPr>
        <w:pStyle w:val="BodyTextGrey"/>
      </w:pPr>
      <w:r w:rsidRPr="008D48B7">
        <w:t>Guidance which confers no statutory obligation on the parties named</w:t>
      </w:r>
      <w:r w:rsidR="007F40EF">
        <w:t xml:space="preserve">. The parties </w:t>
      </w:r>
      <w:r w:rsidRPr="008D48B7">
        <w:t>should nevertheless have regard to its contents</w:t>
      </w:r>
      <w:r w:rsidR="00317530">
        <w:t>.</w:t>
      </w:r>
    </w:p>
    <w:p w14:paraId="5D92FACB" w14:textId="77777777" w:rsidR="00D76820" w:rsidRPr="008D48B7" w:rsidRDefault="00D76820" w:rsidP="008D48B7">
      <w:pPr>
        <w:pStyle w:val="BodyTextGrey"/>
        <w:rPr>
          <w:b/>
          <w:bCs/>
        </w:rPr>
      </w:pPr>
      <w:r w:rsidRPr="008D48B7">
        <w:rPr>
          <w:b/>
          <w:bCs/>
        </w:rPr>
        <w:t>Notifiable events</w:t>
      </w:r>
    </w:p>
    <w:p w14:paraId="6AAC236C" w14:textId="5A0936AA" w:rsidR="00D76820" w:rsidRPr="008D48B7" w:rsidRDefault="00D76820" w:rsidP="008D48B7">
      <w:pPr>
        <w:pStyle w:val="BodyTextGrey"/>
      </w:pPr>
      <w:r w:rsidRPr="008D48B7">
        <w:t xml:space="preserve">Events which the employer should make the </w:t>
      </w:r>
      <w:r w:rsidR="0037690A">
        <w:t>a</w:t>
      </w:r>
      <w:r w:rsidRPr="008D48B7">
        <w:t xml:space="preserve">dministering </w:t>
      </w:r>
      <w:r w:rsidR="0037690A">
        <w:t>a</w:t>
      </w:r>
      <w:r w:rsidRPr="008D48B7">
        <w:t>uthority aware of</w:t>
      </w:r>
      <w:r w:rsidR="0037690A">
        <w:t>.</w:t>
      </w:r>
    </w:p>
    <w:p w14:paraId="68D7D2BA" w14:textId="77777777" w:rsidR="00D76820" w:rsidRPr="008D48B7" w:rsidRDefault="00D76820" w:rsidP="008D48B7">
      <w:pPr>
        <w:pStyle w:val="BodyTextGrey"/>
        <w:rPr>
          <w:b/>
          <w:bCs/>
        </w:rPr>
      </w:pPr>
      <w:r w:rsidRPr="008D48B7">
        <w:rPr>
          <w:b/>
          <w:bCs/>
        </w:rPr>
        <w:t>Past service liabilities</w:t>
      </w:r>
    </w:p>
    <w:p w14:paraId="29E52B1D" w14:textId="50146575" w:rsidR="007C7E8A" w:rsidRDefault="00D76820">
      <w:pPr>
        <w:pStyle w:val="BodyTextGrey"/>
      </w:pPr>
      <w:r w:rsidRPr="008D48B7">
        <w:t>The cost of pensions already built up or in payment</w:t>
      </w:r>
      <w:r w:rsidR="0037690A">
        <w:t>.</w:t>
      </w:r>
    </w:p>
    <w:p w14:paraId="69DF9CDB" w14:textId="77777777" w:rsidR="009A7FF2" w:rsidRPr="009A7FF2" w:rsidRDefault="007C7E8A" w:rsidP="007C7E8A">
      <w:pPr>
        <w:pStyle w:val="BodyTextGrey"/>
        <w:rPr>
          <w:b/>
          <w:bCs/>
        </w:rPr>
      </w:pPr>
      <w:r w:rsidRPr="009A7FF2">
        <w:rPr>
          <w:b/>
          <w:bCs/>
        </w:rPr>
        <w:t>Pension</w:t>
      </w:r>
      <w:r w:rsidR="00D76820" w:rsidRPr="009A7FF2">
        <w:rPr>
          <w:b/>
          <w:bCs/>
        </w:rPr>
        <w:t xml:space="preserve"> committee </w:t>
      </w:r>
    </w:p>
    <w:p w14:paraId="6173FBEB" w14:textId="5D9FF201" w:rsidR="009A7FF2" w:rsidRDefault="009A7FF2" w:rsidP="009A7FF2">
      <w:pPr>
        <w:pStyle w:val="BodyTextGrey"/>
      </w:pPr>
      <w:r>
        <w:t>A committee or sub-committee to which an administering authority has delegated its pension function</w:t>
      </w:r>
      <w:r w:rsidR="00E049D6">
        <w:t>.</w:t>
      </w:r>
    </w:p>
    <w:p w14:paraId="4D113E17" w14:textId="179C479C" w:rsidR="00D76820" w:rsidRPr="008D48B7" w:rsidRDefault="00D76820" w:rsidP="009A7FF2">
      <w:pPr>
        <w:pStyle w:val="BodyTextGrey"/>
        <w:rPr>
          <w:b/>
          <w:bCs/>
        </w:rPr>
      </w:pPr>
      <w:r w:rsidRPr="008D48B7">
        <w:rPr>
          <w:b/>
          <w:bCs/>
        </w:rPr>
        <w:t>Pensions Administration Strategy</w:t>
      </w:r>
    </w:p>
    <w:p w14:paraId="2987CE4D" w14:textId="6FEB92B8" w:rsidR="00D76820" w:rsidRPr="008D48B7" w:rsidRDefault="00D76820" w:rsidP="008D48B7">
      <w:pPr>
        <w:pStyle w:val="BodyTextGrey"/>
      </w:pPr>
      <w:r w:rsidRPr="008D48B7">
        <w:t xml:space="preserve">A statement of the duties and responsibilities of scheme employers and </w:t>
      </w:r>
      <w:r w:rsidR="00E049D6">
        <w:t>a</w:t>
      </w:r>
      <w:r w:rsidRPr="008D48B7">
        <w:t xml:space="preserve">dministering </w:t>
      </w:r>
      <w:r w:rsidR="00E049D6">
        <w:t>a</w:t>
      </w:r>
      <w:r w:rsidRPr="008D48B7">
        <w:t>uthorities to ensure the effective management of the scheme</w:t>
      </w:r>
      <w:r w:rsidR="00E049D6">
        <w:t>.</w:t>
      </w:r>
    </w:p>
    <w:p w14:paraId="5A02208F" w14:textId="77777777" w:rsidR="00D76820" w:rsidRPr="008D48B7" w:rsidRDefault="00D76820" w:rsidP="008D48B7">
      <w:pPr>
        <w:pStyle w:val="BodyTextGrey"/>
        <w:rPr>
          <w:b/>
          <w:bCs/>
        </w:rPr>
      </w:pPr>
      <w:r w:rsidRPr="008D48B7">
        <w:rPr>
          <w:b/>
          <w:bCs/>
        </w:rPr>
        <w:t>Primary and secondary employer contributions</w:t>
      </w:r>
    </w:p>
    <w:p w14:paraId="1EA7FDD2" w14:textId="77777777" w:rsidR="00D76820" w:rsidRPr="008D48B7" w:rsidRDefault="00D76820" w:rsidP="008D48B7">
      <w:pPr>
        <w:pStyle w:val="BodyTextGrey"/>
      </w:pPr>
      <w:r w:rsidRPr="008D48B7">
        <w:t>Primary employer contributions meet the future costs of the scheme and Secondary employer contributions meet the costs already built up (adjusted to reflect the experience of each scheme employer). Contributions will therefore vary across scheme employers within a Fund.</w:t>
      </w:r>
    </w:p>
    <w:p w14:paraId="2DC11C09" w14:textId="3B688478" w:rsidR="00D76820" w:rsidRPr="008D48B7" w:rsidRDefault="00D76820" w:rsidP="008D48B7">
      <w:pPr>
        <w:pStyle w:val="BodyTextGrey"/>
        <w:rPr>
          <w:b/>
          <w:bCs/>
        </w:rPr>
      </w:pPr>
      <w:r w:rsidRPr="008D48B7">
        <w:rPr>
          <w:b/>
          <w:bCs/>
        </w:rPr>
        <w:t xml:space="preserve">Rates and </w:t>
      </w:r>
      <w:r w:rsidR="001226C3">
        <w:rPr>
          <w:b/>
          <w:bCs/>
        </w:rPr>
        <w:t>A</w:t>
      </w:r>
      <w:r w:rsidRPr="008D48B7">
        <w:rPr>
          <w:b/>
          <w:bCs/>
        </w:rPr>
        <w:t>djustments certificate</w:t>
      </w:r>
    </w:p>
    <w:p w14:paraId="645D4854" w14:textId="702DA25E" w:rsidR="00D76820" w:rsidRPr="008D48B7" w:rsidRDefault="00D76820" w:rsidP="008D48B7">
      <w:pPr>
        <w:pStyle w:val="BodyTextGrey"/>
      </w:pPr>
      <w:r w:rsidRPr="008D48B7">
        <w:t>A statement of the contributions payable by each scheme employer (see actuarial certificates)</w:t>
      </w:r>
      <w:r w:rsidR="001226C3">
        <w:t>.</w:t>
      </w:r>
    </w:p>
    <w:p w14:paraId="69ACAE28" w14:textId="77777777" w:rsidR="00D76820" w:rsidRPr="008D48B7" w:rsidRDefault="00D76820" w:rsidP="008D48B7">
      <w:pPr>
        <w:pStyle w:val="BodyTextGrey"/>
        <w:rPr>
          <w:b/>
          <w:bCs/>
        </w:rPr>
      </w:pPr>
      <w:r w:rsidRPr="008D48B7">
        <w:rPr>
          <w:b/>
          <w:bCs/>
        </w:rPr>
        <w:t>Scheme Manager</w:t>
      </w:r>
    </w:p>
    <w:p w14:paraId="20A22719" w14:textId="6F4D5437" w:rsidR="00D76820" w:rsidRPr="008D48B7" w:rsidRDefault="00D76820" w:rsidP="008D48B7">
      <w:pPr>
        <w:pStyle w:val="BodyTextGrey"/>
      </w:pPr>
      <w:r w:rsidRPr="00D83136">
        <w:t xml:space="preserve">A person or body responsible for managing or administering a pension scheme established under section 1 of the 2013 Act. In the case of the LGPS, each </w:t>
      </w:r>
      <w:r w:rsidR="001226C3">
        <w:t>f</w:t>
      </w:r>
      <w:r w:rsidRPr="00D83136">
        <w:t xml:space="preserve">und has a Scheme Manager which is the </w:t>
      </w:r>
      <w:r w:rsidR="001226C3">
        <w:t>a</w:t>
      </w:r>
      <w:r w:rsidRPr="00D83136">
        <w:t xml:space="preserve">dministering </w:t>
      </w:r>
      <w:r w:rsidR="001226C3">
        <w:t>a</w:t>
      </w:r>
      <w:r w:rsidRPr="00D83136">
        <w:t>uthority.</w:t>
      </w:r>
    </w:p>
    <w:p w14:paraId="639AEC0D" w14:textId="77777777" w:rsidR="000B7EC6" w:rsidRPr="008D48B7" w:rsidRDefault="000B7EC6" w:rsidP="004F5C25">
      <w:pPr>
        <w:pStyle w:val="BodyTextGrey"/>
      </w:pPr>
      <w:r w:rsidRPr="00D83136">
        <w:br w:type="page"/>
      </w:r>
    </w:p>
    <w:p w14:paraId="11943E83" w14:textId="04A4B8AC" w:rsidR="000B4361" w:rsidRPr="00AD1463" w:rsidRDefault="000B4361" w:rsidP="00424C77">
      <w:pPr>
        <w:pStyle w:val="Appendix1"/>
      </w:pPr>
      <w:bookmarkStart w:id="133" w:name="_Toc174969030"/>
      <w:r w:rsidRPr="00AD1463">
        <w:lastRenderedPageBreak/>
        <w:t xml:space="preserve">Appendix </w:t>
      </w:r>
      <w:r w:rsidR="0071436B">
        <w:t>D</w:t>
      </w:r>
      <w:r w:rsidRPr="00AD1463">
        <w:t xml:space="preserve"> – </w:t>
      </w:r>
      <w:r w:rsidR="00390800">
        <w:t>R</w:t>
      </w:r>
      <w:r w:rsidR="0005092B">
        <w:t xml:space="preserve">isks </w:t>
      </w:r>
      <w:r w:rsidRPr="00AD1463">
        <w:t>and controls</w:t>
      </w:r>
      <w:bookmarkEnd w:id="128"/>
      <w:bookmarkEnd w:id="129"/>
      <w:bookmarkEnd w:id="130"/>
      <w:bookmarkEnd w:id="131"/>
      <w:bookmarkEnd w:id="132"/>
      <w:bookmarkEnd w:id="133"/>
      <w:r w:rsidR="0011032C" w:rsidRPr="00AD1463">
        <w:t xml:space="preserve"> </w:t>
      </w:r>
    </w:p>
    <w:p w14:paraId="7F2EE819" w14:textId="44CFDB38" w:rsidR="000B4361" w:rsidRDefault="00FE5FF0" w:rsidP="000B4361">
      <w:pPr>
        <w:pStyle w:val="Appendix2"/>
      </w:pPr>
      <w:bookmarkStart w:id="134" w:name="_Toc16078831"/>
      <w:bookmarkStart w:id="135" w:name="_Toc86162879"/>
      <w:r>
        <w:t>D</w:t>
      </w:r>
      <w:r w:rsidR="00773FF9">
        <w:t xml:space="preserve">1 </w:t>
      </w:r>
      <w:r w:rsidR="00A965CE">
        <w:t xml:space="preserve">Managing risks </w:t>
      </w:r>
      <w:bookmarkEnd w:id="134"/>
      <w:bookmarkEnd w:id="135"/>
    </w:p>
    <w:p w14:paraId="70ACB976" w14:textId="43DEBF2B" w:rsidR="000B4361" w:rsidRDefault="000B4361" w:rsidP="008E6618">
      <w:pPr>
        <w:pStyle w:val="BodyTextGrey"/>
      </w:pPr>
      <w:r>
        <w:t xml:space="preserve">The </w:t>
      </w:r>
      <w:r w:rsidR="0005092B">
        <w:t>a</w:t>
      </w:r>
      <w:r>
        <w:t xml:space="preserve">dministering </w:t>
      </w:r>
      <w:r w:rsidR="0005092B">
        <w:t>a</w:t>
      </w:r>
      <w:r>
        <w:t>uthority has a</w:t>
      </w:r>
      <w:r w:rsidR="00A965CE">
        <w:t xml:space="preserve"> </w:t>
      </w:r>
      <w:r>
        <w:t xml:space="preserve">risk management programme </w:t>
      </w:r>
      <w:r w:rsidR="0005092B">
        <w:t xml:space="preserve">to </w:t>
      </w:r>
      <w:r w:rsidR="001021F6">
        <w:t xml:space="preserve">identify and </w:t>
      </w:r>
      <w:r w:rsidR="0005092B">
        <w:t xml:space="preserve">control </w:t>
      </w:r>
      <w:r w:rsidR="002A39FB">
        <w:t xml:space="preserve">financial, demographic, regulatory and governance risks. </w:t>
      </w:r>
    </w:p>
    <w:p w14:paraId="630E323B" w14:textId="1B5119FC" w:rsidR="00D25670" w:rsidRPr="00C317A9" w:rsidRDefault="00D25670" w:rsidP="00D25670">
      <w:pPr>
        <w:pStyle w:val="NumberHymans"/>
        <w:numPr>
          <w:ilvl w:val="0"/>
          <w:numId w:val="0"/>
        </w:numPr>
        <w:ind w:left="567" w:hanging="567"/>
      </w:pPr>
      <w:r w:rsidRPr="00C317A9">
        <w:t xml:space="preserve">The role of the </w:t>
      </w:r>
      <w:r w:rsidR="00D80031" w:rsidRPr="00D80031">
        <w:t xml:space="preserve">Pension Committee and Local Pension Board is available on the Fund’s </w:t>
      </w:r>
      <w:hyperlink r:id="rId22" w:history="1">
        <w:r w:rsidR="00D80031" w:rsidRPr="006E5C7B">
          <w:rPr>
            <w:rStyle w:val="Hyperlink"/>
          </w:rPr>
          <w:t>website</w:t>
        </w:r>
      </w:hyperlink>
      <w:r w:rsidRPr="00C317A9">
        <w:t>.</w:t>
      </w:r>
    </w:p>
    <w:p w14:paraId="44970207" w14:textId="5ADD9F50" w:rsidR="000A4E50" w:rsidRDefault="000A4E50">
      <w:pPr>
        <w:pStyle w:val="BulletHymans"/>
        <w:numPr>
          <w:ilvl w:val="0"/>
          <w:numId w:val="0"/>
        </w:numPr>
      </w:pPr>
      <w:r w:rsidRPr="002C0D40">
        <w:t xml:space="preserve">Details of the </w:t>
      </w:r>
      <w:r w:rsidR="001021F6" w:rsidRPr="002C0D40">
        <w:t xml:space="preserve">key </w:t>
      </w:r>
      <w:r w:rsidR="002D2AC6" w:rsidRPr="002C0D40">
        <w:t>F</w:t>
      </w:r>
      <w:r w:rsidR="002A39FB" w:rsidRPr="002C0D40">
        <w:t xml:space="preserve">und-specific </w:t>
      </w:r>
      <w:r w:rsidRPr="002C0D40">
        <w:t xml:space="preserve">risks </w:t>
      </w:r>
      <w:r w:rsidR="002A39FB" w:rsidRPr="002C0D40">
        <w:t xml:space="preserve">and controls </w:t>
      </w:r>
      <w:r w:rsidR="00495967" w:rsidRPr="002C0D40">
        <w:t xml:space="preserve">are </w:t>
      </w:r>
      <w:r w:rsidRPr="002C0D40">
        <w:t xml:space="preserve">set out in the risk register </w:t>
      </w:r>
      <w:r w:rsidR="00375D6B" w:rsidRPr="002C0D40">
        <w:t xml:space="preserve">which is presented </w:t>
      </w:r>
      <w:r w:rsidR="008B449A" w:rsidRPr="002C0D40">
        <w:t xml:space="preserve">frequently </w:t>
      </w:r>
      <w:r w:rsidR="00375D6B" w:rsidRPr="002C0D40">
        <w:t>to the Committee and Board</w:t>
      </w:r>
      <w:r w:rsidR="00495967" w:rsidRPr="002C0D40">
        <w:t>.</w:t>
      </w:r>
    </w:p>
    <w:p w14:paraId="5D6B61FD" w14:textId="77777777" w:rsidR="003A5187" w:rsidRPr="00CB07BD" w:rsidRDefault="003A5187" w:rsidP="003A5187">
      <w:pPr>
        <w:pStyle w:val="Appendix2"/>
      </w:pPr>
      <w:r>
        <w:t>D2 Financial risks</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7"/>
        <w:gridCol w:w="5528"/>
      </w:tblGrid>
      <w:tr w:rsidR="003A5187" w:rsidRPr="00056350" w14:paraId="71423C1A" w14:textId="77777777" w:rsidTr="0047461F">
        <w:trPr>
          <w:trHeight w:val="458"/>
          <w:tblHeader/>
        </w:trPr>
        <w:tc>
          <w:tcPr>
            <w:tcW w:w="4287" w:type="dxa"/>
            <w:tcBorders>
              <w:top w:val="nil"/>
              <w:left w:val="nil"/>
              <w:bottom w:val="single" w:sz="12" w:space="0" w:color="3FA6CC" w:themeColor="accent1"/>
              <w:right w:val="nil"/>
            </w:tcBorders>
            <w:vAlign w:val="center"/>
          </w:tcPr>
          <w:p w14:paraId="7B9B216A" w14:textId="77777777" w:rsidR="003A5187" w:rsidRPr="00CB07BD" w:rsidRDefault="003A5187" w:rsidP="0047461F">
            <w:pPr>
              <w:pStyle w:val="BodyTextGrey"/>
              <w:spacing w:after="20" w:line="240" w:lineRule="auto"/>
              <w:rPr>
                <w:b/>
                <w:color w:val="3FA6CC" w:themeColor="accent1"/>
              </w:rPr>
            </w:pPr>
            <w:r w:rsidRPr="00CB07BD">
              <w:rPr>
                <w:b/>
                <w:color w:val="3FA6CC" w:themeColor="accent1"/>
              </w:rPr>
              <w:t>Risk</w:t>
            </w:r>
          </w:p>
        </w:tc>
        <w:tc>
          <w:tcPr>
            <w:tcW w:w="5528" w:type="dxa"/>
            <w:tcBorders>
              <w:top w:val="nil"/>
              <w:left w:val="nil"/>
              <w:bottom w:val="single" w:sz="12" w:space="0" w:color="3FA6CC" w:themeColor="accent1"/>
              <w:right w:val="nil"/>
            </w:tcBorders>
            <w:vAlign w:val="center"/>
          </w:tcPr>
          <w:p w14:paraId="095DDF0A" w14:textId="77777777" w:rsidR="003A5187" w:rsidRPr="00CB07BD" w:rsidRDefault="003A5187" w:rsidP="0047461F">
            <w:pPr>
              <w:pStyle w:val="BodyTextGrey"/>
              <w:spacing w:after="20" w:line="240" w:lineRule="auto"/>
              <w:rPr>
                <w:b/>
                <w:color w:val="3FA6CC" w:themeColor="accent1"/>
              </w:rPr>
            </w:pPr>
            <w:r w:rsidRPr="00CB07BD">
              <w:rPr>
                <w:b/>
                <w:color w:val="3FA6CC" w:themeColor="accent1"/>
              </w:rPr>
              <w:t xml:space="preserve">Control </w:t>
            </w:r>
          </w:p>
        </w:tc>
      </w:tr>
      <w:tr w:rsidR="003A5187" w:rsidRPr="00056350" w14:paraId="778ACC12" w14:textId="77777777" w:rsidTr="0047461F">
        <w:tc>
          <w:tcPr>
            <w:tcW w:w="4287" w:type="dxa"/>
            <w:tcBorders>
              <w:top w:val="single" w:sz="12" w:space="0" w:color="3FA6CC" w:themeColor="accent1"/>
              <w:left w:val="nil"/>
              <w:bottom w:val="single" w:sz="8" w:space="0" w:color="455560" w:themeColor="accent5"/>
              <w:right w:val="nil"/>
            </w:tcBorders>
          </w:tcPr>
          <w:p w14:paraId="15089780" w14:textId="77777777" w:rsidR="003A5187" w:rsidRPr="00345E57" w:rsidRDefault="003A5187" w:rsidP="0047461F">
            <w:pPr>
              <w:pStyle w:val="BodyTextGrey"/>
            </w:pPr>
            <w:r>
              <w:t>Fund</w:t>
            </w:r>
            <w:r w:rsidRPr="00345E57">
              <w:t xml:space="preserve"> assets </w:t>
            </w:r>
            <w:r>
              <w:t>don’t</w:t>
            </w:r>
            <w:r w:rsidRPr="00345E57">
              <w:t xml:space="preserve"> deliver</w:t>
            </w:r>
            <w:r>
              <w:t xml:space="preserve"> the anticipated</w:t>
            </w:r>
            <w:r w:rsidRPr="00345E57">
              <w:t xml:space="preserve"> returns</w:t>
            </w:r>
            <w:r>
              <w:t xml:space="preserve"> that underpin the </w:t>
            </w:r>
            <w:r w:rsidRPr="00345E57">
              <w:t xml:space="preserve">valuation of </w:t>
            </w:r>
            <w:r w:rsidRPr="0064257A">
              <w:t xml:space="preserve">liabilities </w:t>
            </w:r>
            <w:r w:rsidRPr="008E6618">
              <w:t>and contribution rates</w:t>
            </w:r>
            <w:r w:rsidRPr="00345E57">
              <w:t xml:space="preserve"> over the long-term.</w:t>
            </w:r>
          </w:p>
        </w:tc>
        <w:tc>
          <w:tcPr>
            <w:tcW w:w="5528" w:type="dxa"/>
            <w:tcBorders>
              <w:top w:val="single" w:sz="12" w:space="0" w:color="3FA6CC" w:themeColor="accent1"/>
              <w:left w:val="nil"/>
              <w:bottom w:val="single" w:sz="8" w:space="0" w:color="455560" w:themeColor="accent5"/>
              <w:right w:val="nil"/>
            </w:tcBorders>
          </w:tcPr>
          <w:p w14:paraId="05A8CC44" w14:textId="77777777" w:rsidR="003A5187" w:rsidRDefault="003A5187" w:rsidP="0047461F">
            <w:pPr>
              <w:pStyle w:val="BodyTextGrey"/>
            </w:pPr>
            <w:r>
              <w:t>A</w:t>
            </w:r>
            <w:r w:rsidRPr="0012092B">
              <w:t>nticipate long-term return</w:t>
            </w:r>
            <w:r>
              <w:t>s</w:t>
            </w:r>
            <w:r w:rsidRPr="0012092B">
              <w:t xml:space="preserve"> on a prudent basis to reduce risk of under-performing.</w:t>
            </w:r>
          </w:p>
          <w:p w14:paraId="37B0FA1C" w14:textId="77777777" w:rsidR="003A5187" w:rsidRPr="0012092B" w:rsidRDefault="003A5187" w:rsidP="0047461F">
            <w:pPr>
              <w:pStyle w:val="BodyTextGrey"/>
            </w:pPr>
            <w:r>
              <w:t>Use specialist advice to invest and diversify assets across asset classes, geographies, managers, etc.</w:t>
            </w:r>
          </w:p>
          <w:p w14:paraId="1B77E0DC" w14:textId="77777777" w:rsidR="003A5187" w:rsidRPr="0012092B" w:rsidRDefault="003A5187" w:rsidP="0047461F">
            <w:pPr>
              <w:pStyle w:val="BodyTextGrey"/>
            </w:pPr>
            <w:r w:rsidRPr="0012092B">
              <w:t>Analyse progress at three</w:t>
            </w:r>
            <w:r>
              <w:t>-</w:t>
            </w:r>
            <w:r w:rsidRPr="0012092B">
              <w:t>year valuations for all employers.</w:t>
            </w:r>
            <w:r>
              <w:t xml:space="preserve"> </w:t>
            </w:r>
          </w:p>
          <w:p w14:paraId="60FA25D8" w14:textId="77777777" w:rsidR="003A5187" w:rsidRPr="00345E57" w:rsidRDefault="003A5187" w:rsidP="0047461F">
            <w:pPr>
              <w:pStyle w:val="BodyTextGrey"/>
              <w:rPr>
                <w:i/>
              </w:rPr>
            </w:pPr>
            <w:r>
              <w:t xml:space="preserve">Roll forward whole Fund liabilities between valuations. </w:t>
            </w:r>
          </w:p>
        </w:tc>
      </w:tr>
      <w:tr w:rsidR="003A5187" w:rsidRPr="00056350" w14:paraId="1C1A8031" w14:textId="77777777" w:rsidTr="0047461F">
        <w:tc>
          <w:tcPr>
            <w:tcW w:w="4287" w:type="dxa"/>
            <w:tcBorders>
              <w:top w:val="single" w:sz="8" w:space="0" w:color="455560" w:themeColor="accent5"/>
              <w:left w:val="nil"/>
              <w:bottom w:val="single" w:sz="8" w:space="0" w:color="455560" w:themeColor="accent5"/>
              <w:right w:val="nil"/>
            </w:tcBorders>
          </w:tcPr>
          <w:p w14:paraId="22C3D15E" w14:textId="77777777" w:rsidR="003A5187" w:rsidRPr="00345E57" w:rsidRDefault="003A5187" w:rsidP="0047461F">
            <w:pPr>
              <w:pStyle w:val="BodyTextGrey"/>
            </w:pPr>
            <w:r w:rsidRPr="00345E57">
              <w:t xml:space="preserve">Inappropriate long-term investment strategy. </w:t>
            </w:r>
          </w:p>
        </w:tc>
        <w:tc>
          <w:tcPr>
            <w:tcW w:w="5528" w:type="dxa"/>
            <w:tcBorders>
              <w:top w:val="single" w:sz="8" w:space="0" w:color="455560" w:themeColor="accent5"/>
              <w:left w:val="nil"/>
              <w:bottom w:val="single" w:sz="8" w:space="0" w:color="455560" w:themeColor="accent5"/>
              <w:right w:val="nil"/>
            </w:tcBorders>
          </w:tcPr>
          <w:p w14:paraId="4D43BC51" w14:textId="77777777" w:rsidR="003A5187" w:rsidRDefault="003A5187" w:rsidP="0047461F">
            <w:pPr>
              <w:pStyle w:val="BodyTextGrey"/>
            </w:pPr>
            <w:r>
              <w:t>Consider o</w:t>
            </w:r>
            <w:r w:rsidRPr="0012092B">
              <w:t xml:space="preserve">verall investment strategy options </w:t>
            </w:r>
            <w:r>
              <w:t>as part of the fund</w:t>
            </w:r>
            <w:r w:rsidRPr="0012092B">
              <w:t>ing strategy.</w:t>
            </w:r>
            <w:r>
              <w:t xml:space="preserve"> Use </w:t>
            </w:r>
            <w:r w:rsidRPr="0012092B">
              <w:t>asset liability modelling to measure outcomes</w:t>
            </w:r>
            <w:r>
              <w:t xml:space="preserve"> and choose the option that provides the best balance</w:t>
            </w:r>
            <w:r w:rsidRPr="0012092B">
              <w:t>.</w:t>
            </w:r>
            <w:r>
              <w:t xml:space="preserve"> </w:t>
            </w:r>
          </w:p>
          <w:p w14:paraId="3A9C5FF8" w14:textId="77777777" w:rsidR="003A5187" w:rsidRPr="0012092B" w:rsidRDefault="003A5187" w:rsidP="0047461F">
            <w:pPr>
              <w:pStyle w:val="BodyTextGrey"/>
            </w:pPr>
            <w:r>
              <w:t xml:space="preserve">Operate various </w:t>
            </w:r>
            <w:r w:rsidRPr="008E6618">
              <w:t xml:space="preserve">strategies to meet </w:t>
            </w:r>
            <w:r>
              <w:t xml:space="preserve">the </w:t>
            </w:r>
            <w:r w:rsidRPr="008E6618">
              <w:t>needs of a diverse employer group.</w:t>
            </w:r>
          </w:p>
        </w:tc>
      </w:tr>
      <w:tr w:rsidR="003A5187" w:rsidRPr="00056350" w14:paraId="5E456405" w14:textId="77777777" w:rsidTr="0047461F">
        <w:tc>
          <w:tcPr>
            <w:tcW w:w="4287" w:type="dxa"/>
            <w:tcBorders>
              <w:top w:val="single" w:sz="8" w:space="0" w:color="455560" w:themeColor="accent5"/>
              <w:left w:val="nil"/>
              <w:bottom w:val="single" w:sz="4" w:space="0" w:color="auto"/>
              <w:right w:val="nil"/>
            </w:tcBorders>
          </w:tcPr>
          <w:p w14:paraId="3FB49C23" w14:textId="77777777" w:rsidR="003A5187" w:rsidRPr="00345E57" w:rsidRDefault="003A5187" w:rsidP="0047461F">
            <w:pPr>
              <w:pStyle w:val="BodyTextGrey"/>
            </w:pPr>
            <w:r w:rsidRPr="00345E57">
              <w:t>Active investment manager under-perform</w:t>
            </w:r>
            <w:r>
              <w:t xml:space="preserve">s </w:t>
            </w:r>
            <w:r w:rsidRPr="00345E57">
              <w:t>relative to benchmark.</w:t>
            </w:r>
          </w:p>
        </w:tc>
        <w:tc>
          <w:tcPr>
            <w:tcW w:w="5528" w:type="dxa"/>
            <w:tcBorders>
              <w:top w:val="single" w:sz="8" w:space="0" w:color="455560" w:themeColor="accent5"/>
              <w:left w:val="nil"/>
              <w:bottom w:val="single" w:sz="4" w:space="0" w:color="auto"/>
              <w:right w:val="nil"/>
            </w:tcBorders>
          </w:tcPr>
          <w:p w14:paraId="0ED6B75F" w14:textId="77777777" w:rsidR="003A5187" w:rsidRPr="0012092B" w:rsidRDefault="003A5187" w:rsidP="0047461F">
            <w:pPr>
              <w:pStyle w:val="BodyTextGrey"/>
            </w:pPr>
            <w:r>
              <w:t>Use q</w:t>
            </w:r>
            <w:r w:rsidRPr="0012092B">
              <w:t xml:space="preserve">uarterly investment monitoring </w:t>
            </w:r>
            <w:r>
              <w:t xml:space="preserve">to analyse </w:t>
            </w:r>
            <w:r w:rsidRPr="0012092B">
              <w:t>market performance and active managers</w:t>
            </w:r>
            <w:r>
              <w:t xml:space="preserve">, </w:t>
            </w:r>
            <w:r w:rsidRPr="0012092B">
              <w:t>relative to index benchmark.</w:t>
            </w:r>
            <w:r>
              <w:t xml:space="preserve"> </w:t>
            </w:r>
          </w:p>
        </w:tc>
      </w:tr>
      <w:tr w:rsidR="003A5187" w:rsidRPr="00056350" w14:paraId="426F3C97" w14:textId="77777777" w:rsidTr="0047461F">
        <w:tc>
          <w:tcPr>
            <w:tcW w:w="4287" w:type="dxa"/>
            <w:tcBorders>
              <w:top w:val="single" w:sz="4" w:space="0" w:color="auto"/>
              <w:left w:val="nil"/>
              <w:bottom w:val="single" w:sz="8" w:space="0" w:color="455560" w:themeColor="accent5"/>
              <w:right w:val="nil"/>
            </w:tcBorders>
          </w:tcPr>
          <w:p w14:paraId="271AE99C" w14:textId="77777777" w:rsidR="003A5187" w:rsidRPr="00345E57" w:rsidRDefault="003A5187" w:rsidP="0047461F">
            <w:pPr>
              <w:pStyle w:val="BodyTextGrey"/>
            </w:pPr>
            <w:r w:rsidRPr="00345E57">
              <w:t xml:space="preserve">Pay and price inflation </w:t>
            </w:r>
            <w:r>
              <w:t xml:space="preserve">is </w:t>
            </w:r>
            <w:r w:rsidRPr="00345E57">
              <w:t>significantly more than anticipated.</w:t>
            </w:r>
          </w:p>
        </w:tc>
        <w:tc>
          <w:tcPr>
            <w:tcW w:w="5528" w:type="dxa"/>
            <w:tcBorders>
              <w:top w:val="single" w:sz="4" w:space="0" w:color="auto"/>
              <w:left w:val="nil"/>
              <w:bottom w:val="single" w:sz="8" w:space="0" w:color="455560" w:themeColor="accent5"/>
              <w:right w:val="nil"/>
            </w:tcBorders>
          </w:tcPr>
          <w:p w14:paraId="4E80DEB0" w14:textId="77777777" w:rsidR="003A5187" w:rsidRPr="0012092B" w:rsidRDefault="003A5187" w:rsidP="0047461F">
            <w:pPr>
              <w:pStyle w:val="BodyTextGrey"/>
            </w:pPr>
            <w:r>
              <w:t xml:space="preserve">Focus valuation on </w:t>
            </w:r>
            <w:r w:rsidRPr="0012092B">
              <w:t xml:space="preserve">real returns on assets, net of price and pay increases. </w:t>
            </w:r>
          </w:p>
          <w:p w14:paraId="40EBD7AF" w14:textId="77777777" w:rsidR="003A5187" w:rsidRDefault="003A5187" w:rsidP="0047461F">
            <w:pPr>
              <w:pStyle w:val="BodyTextGrey"/>
            </w:pPr>
            <w:r>
              <w:t>Use i</w:t>
            </w:r>
            <w:r w:rsidRPr="0012092B">
              <w:t>nter-valuation monitoring</w:t>
            </w:r>
            <w:r>
              <w:t xml:space="preserve"> to give early warning. </w:t>
            </w:r>
          </w:p>
          <w:p w14:paraId="32BE34EF" w14:textId="77777777" w:rsidR="003A5187" w:rsidRDefault="003A5187" w:rsidP="0047461F">
            <w:pPr>
              <w:pStyle w:val="BodyTextGrey"/>
            </w:pPr>
            <w:r>
              <w:t xml:space="preserve">Invest in bonds.  </w:t>
            </w:r>
          </w:p>
          <w:p w14:paraId="46017EEE" w14:textId="77777777" w:rsidR="003A5187" w:rsidRPr="00345E57" w:rsidRDefault="003A5187" w:rsidP="0047461F">
            <w:pPr>
              <w:pStyle w:val="BodyTextGrey"/>
              <w:rPr>
                <w:i/>
              </w:rPr>
            </w:pPr>
            <w:r w:rsidRPr="0012092B">
              <w:t xml:space="preserve">Employers </w:t>
            </w:r>
            <w:r>
              <w:t xml:space="preserve">to be mindful of the </w:t>
            </w:r>
            <w:r w:rsidRPr="0012092B">
              <w:t>geared effect on pension liabilities of any bias in pensionable pay rises towards longer-serving employees.</w:t>
            </w:r>
            <w:r>
              <w:rPr>
                <w:i/>
              </w:rPr>
              <w:t xml:space="preserve"> </w:t>
            </w:r>
          </w:p>
        </w:tc>
      </w:tr>
      <w:tr w:rsidR="003A5187" w:rsidRPr="00056350" w14:paraId="124F8200" w14:textId="77777777" w:rsidTr="0047461F">
        <w:tc>
          <w:tcPr>
            <w:tcW w:w="4287" w:type="dxa"/>
            <w:tcBorders>
              <w:top w:val="single" w:sz="8" w:space="0" w:color="455560" w:themeColor="accent5"/>
              <w:left w:val="nil"/>
              <w:bottom w:val="single" w:sz="8" w:space="0" w:color="455560" w:themeColor="accent5"/>
              <w:right w:val="nil"/>
            </w:tcBorders>
          </w:tcPr>
          <w:p w14:paraId="40743550" w14:textId="77777777" w:rsidR="003A5187" w:rsidRPr="00345E57" w:rsidRDefault="003A5187" w:rsidP="0047461F">
            <w:pPr>
              <w:pStyle w:val="BodyTextGrey"/>
            </w:pPr>
            <w:r>
              <w:t xml:space="preserve">Increased </w:t>
            </w:r>
            <w:r w:rsidRPr="00345E57">
              <w:t xml:space="preserve">employer’s contribution rate </w:t>
            </w:r>
            <w:r>
              <w:t>affects</w:t>
            </w:r>
            <w:r w:rsidRPr="00345E57">
              <w:t xml:space="preserve"> service delivery and admission/scheduled bodies</w:t>
            </w:r>
            <w:r>
              <w:t>.</w:t>
            </w:r>
          </w:p>
        </w:tc>
        <w:tc>
          <w:tcPr>
            <w:tcW w:w="5528" w:type="dxa"/>
            <w:tcBorders>
              <w:top w:val="single" w:sz="8" w:space="0" w:color="455560" w:themeColor="accent5"/>
              <w:left w:val="nil"/>
              <w:bottom w:val="single" w:sz="8" w:space="0" w:color="455560" w:themeColor="accent5"/>
              <w:right w:val="nil"/>
            </w:tcBorders>
          </w:tcPr>
          <w:p w14:paraId="452E0A57" w14:textId="77777777" w:rsidR="003A5187" w:rsidRPr="0012092B" w:rsidRDefault="003A5187" w:rsidP="0047461F">
            <w:pPr>
              <w:pStyle w:val="BodyTextGrey"/>
            </w:pPr>
            <w:r w:rsidRPr="0012092B">
              <w:t>A</w:t>
            </w:r>
            <w:r>
              <w:t>gree a</w:t>
            </w:r>
            <w:r w:rsidRPr="0012092B">
              <w:t>n explicit stabilisation mechanism</w:t>
            </w:r>
            <w:r>
              <w:t>, with other measures to limit sudden increases in contributions.</w:t>
            </w:r>
          </w:p>
        </w:tc>
      </w:tr>
      <w:tr w:rsidR="003A5187" w:rsidRPr="00056350" w14:paraId="784A6BCB" w14:textId="77777777" w:rsidTr="0047461F">
        <w:tc>
          <w:tcPr>
            <w:tcW w:w="4287" w:type="dxa"/>
            <w:tcBorders>
              <w:top w:val="single" w:sz="8" w:space="0" w:color="455560" w:themeColor="accent5"/>
              <w:left w:val="nil"/>
              <w:bottom w:val="single" w:sz="8" w:space="0" w:color="455560" w:themeColor="accent5"/>
              <w:right w:val="nil"/>
            </w:tcBorders>
          </w:tcPr>
          <w:p w14:paraId="0F3AFE0A" w14:textId="77777777" w:rsidR="003A5187" w:rsidRPr="00345E57" w:rsidRDefault="003A5187" w:rsidP="0047461F">
            <w:pPr>
              <w:pStyle w:val="BodyTextGrey"/>
            </w:pPr>
            <w:r>
              <w:lastRenderedPageBreak/>
              <w:t xml:space="preserve">Orphaned employers create added Fund costs. </w:t>
            </w:r>
          </w:p>
        </w:tc>
        <w:tc>
          <w:tcPr>
            <w:tcW w:w="5528" w:type="dxa"/>
            <w:tcBorders>
              <w:top w:val="single" w:sz="8" w:space="0" w:color="455560" w:themeColor="accent5"/>
              <w:left w:val="nil"/>
              <w:bottom w:val="single" w:sz="8" w:space="0" w:color="455560" w:themeColor="accent5"/>
              <w:right w:val="nil"/>
            </w:tcBorders>
          </w:tcPr>
          <w:p w14:paraId="65307669" w14:textId="77777777" w:rsidR="003A5187" w:rsidRDefault="003A5187" w:rsidP="0047461F">
            <w:pPr>
              <w:pStyle w:val="BodyTextGrey"/>
            </w:pPr>
            <w:r>
              <w:t xml:space="preserve">Seek a cessation debt (or security/guarantor). </w:t>
            </w:r>
          </w:p>
          <w:p w14:paraId="0F3B7D81" w14:textId="77777777" w:rsidR="003A5187" w:rsidRPr="0012092B" w:rsidRDefault="003A5187" w:rsidP="0047461F">
            <w:pPr>
              <w:pStyle w:val="BodyTextGrey"/>
            </w:pPr>
            <w:r>
              <w:t>Spread added costs among employers.</w:t>
            </w:r>
          </w:p>
        </w:tc>
      </w:tr>
    </w:tbl>
    <w:p w14:paraId="4B37F108" w14:textId="77777777" w:rsidR="003A5187" w:rsidRDefault="003A5187">
      <w:pPr>
        <w:pStyle w:val="BulletHymans"/>
        <w:numPr>
          <w:ilvl w:val="0"/>
          <w:numId w:val="0"/>
        </w:numPr>
      </w:pPr>
    </w:p>
    <w:p w14:paraId="100CB173" w14:textId="77777777" w:rsidR="006834E8" w:rsidRDefault="006834E8" w:rsidP="006834E8">
      <w:pPr>
        <w:pStyle w:val="Appendix2"/>
      </w:pPr>
      <w:r>
        <w:t>D3 Demographic risks</w:t>
      </w:r>
    </w:p>
    <w:tbl>
      <w:tblPr>
        <w:tblW w:w="0" w:type="auto"/>
        <w:tblInd w:w="108" w:type="dxa"/>
        <w:tblBorders>
          <w:insideH w:val="single" w:sz="8" w:space="0" w:color="455560" w:themeColor="accent5"/>
        </w:tblBorders>
        <w:tblLayout w:type="fixed"/>
        <w:tblLook w:val="01E0" w:firstRow="1" w:lastRow="1" w:firstColumn="1" w:lastColumn="1" w:noHBand="0" w:noVBand="0"/>
      </w:tblPr>
      <w:tblGrid>
        <w:gridCol w:w="4287"/>
        <w:gridCol w:w="5352"/>
      </w:tblGrid>
      <w:tr w:rsidR="006834E8" w:rsidRPr="00056350" w14:paraId="530C7E21" w14:textId="77777777" w:rsidTr="0047461F">
        <w:trPr>
          <w:trHeight w:val="462"/>
          <w:tblHeader/>
        </w:trPr>
        <w:tc>
          <w:tcPr>
            <w:tcW w:w="4287" w:type="dxa"/>
            <w:vAlign w:val="center"/>
          </w:tcPr>
          <w:p w14:paraId="520040E6" w14:textId="77777777" w:rsidR="006834E8" w:rsidRPr="00CB07BD" w:rsidRDefault="006834E8" w:rsidP="0047461F">
            <w:pPr>
              <w:pStyle w:val="BodyTextGrey"/>
              <w:spacing w:after="20" w:line="240" w:lineRule="auto"/>
              <w:rPr>
                <w:b/>
                <w:color w:val="3FA6CC" w:themeColor="accent1"/>
              </w:rPr>
            </w:pPr>
            <w:r w:rsidRPr="00CB07BD">
              <w:rPr>
                <w:b/>
                <w:color w:val="3FA6CC" w:themeColor="accent1"/>
              </w:rPr>
              <w:t>Risk</w:t>
            </w:r>
          </w:p>
        </w:tc>
        <w:tc>
          <w:tcPr>
            <w:tcW w:w="5352" w:type="dxa"/>
            <w:vAlign w:val="center"/>
          </w:tcPr>
          <w:p w14:paraId="6EC69344" w14:textId="77777777" w:rsidR="006834E8" w:rsidRPr="00CB07BD" w:rsidRDefault="006834E8" w:rsidP="0047461F">
            <w:pPr>
              <w:pStyle w:val="BodyTextGrey"/>
              <w:spacing w:after="20" w:line="240" w:lineRule="auto"/>
              <w:rPr>
                <w:b/>
                <w:color w:val="3FA6CC" w:themeColor="accent1"/>
              </w:rPr>
            </w:pPr>
            <w:r w:rsidRPr="00CB07BD">
              <w:rPr>
                <w:b/>
                <w:color w:val="3FA6CC" w:themeColor="accent1"/>
              </w:rPr>
              <w:t xml:space="preserve">Control </w:t>
            </w:r>
          </w:p>
        </w:tc>
      </w:tr>
      <w:tr w:rsidR="006834E8" w:rsidRPr="00056350" w14:paraId="6479E656" w14:textId="77777777" w:rsidTr="0047461F">
        <w:tc>
          <w:tcPr>
            <w:tcW w:w="4287" w:type="dxa"/>
          </w:tcPr>
          <w:p w14:paraId="214F9D85" w14:textId="77777777" w:rsidR="006834E8" w:rsidRPr="00056350" w:rsidRDefault="006834E8" w:rsidP="0047461F">
            <w:pPr>
              <w:pStyle w:val="BodyTextGrey"/>
            </w:pPr>
            <w:r w:rsidRPr="00056350">
              <w:t>Pensioners liv</w:t>
            </w:r>
            <w:r>
              <w:t xml:space="preserve">e </w:t>
            </w:r>
            <w:r w:rsidRPr="00056350">
              <w:t>longer</w:t>
            </w:r>
            <w:r>
              <w:t xml:space="preserve">, increasing Fund costs. </w:t>
            </w:r>
          </w:p>
          <w:p w14:paraId="065AAF84" w14:textId="77777777" w:rsidR="006834E8" w:rsidRPr="00056350" w:rsidRDefault="006834E8" w:rsidP="0047461F">
            <w:pPr>
              <w:pStyle w:val="BodyTextGrey"/>
            </w:pPr>
          </w:p>
        </w:tc>
        <w:tc>
          <w:tcPr>
            <w:tcW w:w="5352" w:type="dxa"/>
          </w:tcPr>
          <w:p w14:paraId="600C1745" w14:textId="77777777" w:rsidR="006834E8" w:rsidRDefault="006834E8" w:rsidP="0047461F">
            <w:pPr>
              <w:pStyle w:val="BodyTextGrey"/>
            </w:pPr>
            <w:r w:rsidRPr="0012092B">
              <w:t>Set mortality assumptions with allowance</w:t>
            </w:r>
            <w:r>
              <w:t>s</w:t>
            </w:r>
            <w:r w:rsidRPr="0012092B">
              <w:t xml:space="preserve"> for future increases in life expectancy.</w:t>
            </w:r>
            <w:r>
              <w:t xml:space="preserve"> </w:t>
            </w:r>
          </w:p>
          <w:p w14:paraId="4AE5945F" w14:textId="77777777" w:rsidR="006834E8" w:rsidRPr="0012092B" w:rsidRDefault="006834E8" w:rsidP="0047461F">
            <w:pPr>
              <w:pStyle w:val="BodyTextGrey"/>
            </w:pPr>
            <w:r>
              <w:t xml:space="preserve">Use the Fund Actuary’s experience and access to </w:t>
            </w:r>
            <w:r w:rsidRPr="0012092B">
              <w:t xml:space="preserve">over 50 </w:t>
            </w:r>
            <w:r>
              <w:t>LGPS Funds</w:t>
            </w:r>
            <w:r w:rsidRPr="0012092B">
              <w:t xml:space="preserve"> </w:t>
            </w:r>
            <w:r>
              <w:t xml:space="preserve">to identify </w:t>
            </w:r>
            <w:r w:rsidRPr="0012092B">
              <w:t xml:space="preserve">changes in life expectancy that might affect the </w:t>
            </w:r>
            <w:r>
              <w:t xml:space="preserve">longevity </w:t>
            </w:r>
            <w:r w:rsidRPr="0012092B">
              <w:t>assumptions</w:t>
            </w:r>
            <w:r>
              <w:t xml:space="preserve"> early. </w:t>
            </w:r>
          </w:p>
        </w:tc>
      </w:tr>
      <w:tr w:rsidR="006834E8" w:rsidRPr="00056350" w14:paraId="3B706337" w14:textId="77777777" w:rsidTr="0047461F">
        <w:tc>
          <w:tcPr>
            <w:tcW w:w="4287" w:type="dxa"/>
          </w:tcPr>
          <w:p w14:paraId="33866BAD" w14:textId="77777777" w:rsidR="006834E8" w:rsidRPr="00056350" w:rsidRDefault="006834E8" w:rsidP="0047461F">
            <w:pPr>
              <w:pStyle w:val="BodyTextGrey"/>
            </w:pPr>
            <w:r>
              <w:t xml:space="preserve">As the Fund matures, the </w:t>
            </w:r>
            <w:r w:rsidRPr="00056350">
              <w:t>proportion of actively contributing employees declines relative to retired employees.</w:t>
            </w:r>
          </w:p>
        </w:tc>
        <w:tc>
          <w:tcPr>
            <w:tcW w:w="5352" w:type="dxa"/>
          </w:tcPr>
          <w:p w14:paraId="46DD9E0B" w14:textId="77777777" w:rsidR="006834E8" w:rsidRDefault="006834E8" w:rsidP="0047461F">
            <w:pPr>
              <w:pStyle w:val="BodyTextGrey"/>
            </w:pPr>
            <w:r>
              <w:t>M</w:t>
            </w:r>
            <w:r w:rsidRPr="0012092B">
              <w:t>onitor at each valuation, consider seeking monetary amounts rather than % of pay</w:t>
            </w:r>
            <w:r>
              <w:t xml:space="preserve">. </w:t>
            </w:r>
          </w:p>
          <w:p w14:paraId="3F04EFCD" w14:textId="77777777" w:rsidR="006834E8" w:rsidRPr="0012092B" w:rsidRDefault="006834E8" w:rsidP="0047461F">
            <w:pPr>
              <w:pStyle w:val="BodyTextGrey"/>
            </w:pPr>
            <w:r>
              <w:t>C</w:t>
            </w:r>
            <w:r w:rsidRPr="0012092B">
              <w:t>onsider alternative investment strategies.</w:t>
            </w:r>
          </w:p>
        </w:tc>
      </w:tr>
      <w:tr w:rsidR="006834E8" w:rsidRPr="00056350" w14:paraId="7842A6AD" w14:textId="77777777" w:rsidTr="0047461F">
        <w:tc>
          <w:tcPr>
            <w:tcW w:w="4287" w:type="dxa"/>
          </w:tcPr>
          <w:p w14:paraId="619B035B" w14:textId="77777777" w:rsidR="006834E8" w:rsidRPr="00056350" w:rsidRDefault="006834E8" w:rsidP="0047461F">
            <w:pPr>
              <w:pStyle w:val="BodyTextGrey"/>
            </w:pPr>
            <w:r w:rsidRPr="00056350">
              <w:t>Deteriorating patterns of early retirements</w:t>
            </w:r>
          </w:p>
        </w:tc>
        <w:tc>
          <w:tcPr>
            <w:tcW w:w="5352" w:type="dxa"/>
          </w:tcPr>
          <w:p w14:paraId="12DC93C0" w14:textId="77777777" w:rsidR="006834E8" w:rsidRPr="0012092B" w:rsidRDefault="006834E8" w:rsidP="0047461F">
            <w:pPr>
              <w:pStyle w:val="BodyTextGrey"/>
            </w:pPr>
            <w:r>
              <w:t>Charge e</w:t>
            </w:r>
            <w:r w:rsidRPr="0012092B">
              <w:t xml:space="preserve">mployers the extra cost of </w:t>
            </w:r>
            <w:proofErr w:type="spellStart"/>
            <w:proofErr w:type="gramStart"/>
            <w:r w:rsidRPr="0012092B">
              <w:t>non ill-health</w:t>
            </w:r>
            <w:proofErr w:type="spellEnd"/>
            <w:proofErr w:type="gramEnd"/>
            <w:r w:rsidRPr="0012092B">
              <w:t xml:space="preserve"> retirements following each individual decision.</w:t>
            </w:r>
          </w:p>
          <w:p w14:paraId="331CF07C" w14:textId="77777777" w:rsidR="006834E8" w:rsidRPr="0012092B" w:rsidRDefault="006834E8" w:rsidP="0047461F">
            <w:pPr>
              <w:pStyle w:val="BodyTextGrey"/>
            </w:pPr>
            <w:r>
              <w:t>Monitor e</w:t>
            </w:r>
            <w:r w:rsidRPr="0012092B">
              <w:t>mployer ill</w:t>
            </w:r>
            <w:r>
              <w:t>-</w:t>
            </w:r>
            <w:r w:rsidRPr="0012092B">
              <w:t>health retirement experience</w:t>
            </w:r>
            <w:r>
              <w:t>, with optional insurance</w:t>
            </w:r>
            <w:r w:rsidRPr="0012092B">
              <w:t>.</w:t>
            </w:r>
          </w:p>
        </w:tc>
      </w:tr>
      <w:tr w:rsidR="006834E8" w:rsidRPr="00056350" w14:paraId="4069AD2E" w14:textId="77777777" w:rsidTr="0047461F">
        <w:tc>
          <w:tcPr>
            <w:tcW w:w="4287" w:type="dxa"/>
          </w:tcPr>
          <w:p w14:paraId="30012EB0" w14:textId="77777777" w:rsidR="006834E8" w:rsidRPr="00056350" w:rsidRDefault="006834E8" w:rsidP="0047461F">
            <w:pPr>
              <w:pStyle w:val="BodyTextGrey"/>
            </w:pPr>
            <w:r>
              <w:t xml:space="preserve">Reductions in payroll cause insufficient deficit recovery payments. </w:t>
            </w:r>
          </w:p>
        </w:tc>
        <w:tc>
          <w:tcPr>
            <w:tcW w:w="5352" w:type="dxa"/>
          </w:tcPr>
          <w:p w14:paraId="3868E8E2" w14:textId="48AD0DFB" w:rsidR="006834E8" w:rsidRPr="0012092B" w:rsidRDefault="00DF767F" w:rsidP="0047461F">
            <w:pPr>
              <w:pStyle w:val="BodyTextGrey"/>
            </w:pPr>
            <w:r>
              <w:t xml:space="preserve">Remove </w:t>
            </w:r>
            <w:r w:rsidR="006834E8">
              <w:t>e</w:t>
            </w:r>
            <w:r w:rsidR="006834E8" w:rsidRPr="0012092B">
              <w:t xml:space="preserve">mployers </w:t>
            </w:r>
            <w:r>
              <w:t xml:space="preserve">from </w:t>
            </w:r>
            <w:r w:rsidR="006834E8" w:rsidRPr="0012092B">
              <w:t>the stabilisation mechanism to permit contribution increases</w:t>
            </w:r>
            <w:r w:rsidR="006834E8">
              <w:t>.</w:t>
            </w:r>
          </w:p>
          <w:p w14:paraId="2BBB02DD" w14:textId="77777777" w:rsidR="006834E8" w:rsidRPr="0012092B" w:rsidRDefault="006834E8" w:rsidP="0047461F">
            <w:pPr>
              <w:pStyle w:val="BodyTextGrey"/>
            </w:pPr>
            <w:r>
              <w:t>R</w:t>
            </w:r>
            <w:r w:rsidRPr="0012092B">
              <w:t>eview</w:t>
            </w:r>
            <w:r>
              <w:t xml:space="preserve"> </w:t>
            </w:r>
            <w:r w:rsidRPr="0012092B">
              <w:t>contributions between valuations</w:t>
            </w:r>
            <w:r>
              <w:t>. This may r</w:t>
            </w:r>
            <w:r w:rsidRPr="0012092B">
              <w:t>equire a move in deficit contributions from a percentage of payroll to fixed monetary amounts.</w:t>
            </w:r>
          </w:p>
        </w:tc>
      </w:tr>
    </w:tbl>
    <w:p w14:paraId="087748F4" w14:textId="77777777" w:rsidR="008A08DA" w:rsidRDefault="008A08DA" w:rsidP="008A08DA">
      <w:pPr>
        <w:pStyle w:val="Appendix2"/>
      </w:pPr>
      <w:r>
        <w:t>D4 Regulatory risks</w:t>
      </w:r>
    </w:p>
    <w:tbl>
      <w:tblPr>
        <w:tblW w:w="0" w:type="auto"/>
        <w:tblInd w:w="108" w:type="dxa"/>
        <w:tblBorders>
          <w:insideH w:val="single" w:sz="8" w:space="0" w:color="455560" w:themeColor="accent5"/>
        </w:tblBorders>
        <w:tblLayout w:type="fixed"/>
        <w:tblLook w:val="01E0" w:firstRow="1" w:lastRow="1" w:firstColumn="1" w:lastColumn="1" w:noHBand="0" w:noVBand="0"/>
      </w:tblPr>
      <w:tblGrid>
        <w:gridCol w:w="4514"/>
        <w:gridCol w:w="5125"/>
      </w:tblGrid>
      <w:tr w:rsidR="008A08DA" w:rsidRPr="00056350" w14:paraId="317E43CB" w14:textId="77777777" w:rsidTr="0047461F">
        <w:trPr>
          <w:trHeight w:val="428"/>
        </w:trPr>
        <w:tc>
          <w:tcPr>
            <w:tcW w:w="4514" w:type="dxa"/>
            <w:vAlign w:val="center"/>
          </w:tcPr>
          <w:p w14:paraId="63367209" w14:textId="77777777" w:rsidR="008A08DA" w:rsidRPr="00CB07BD" w:rsidRDefault="008A08DA" w:rsidP="0047461F">
            <w:pPr>
              <w:pStyle w:val="BodyTextGrey"/>
              <w:spacing w:after="20" w:line="240" w:lineRule="auto"/>
              <w:rPr>
                <w:b/>
                <w:color w:val="3FA6CC" w:themeColor="accent1"/>
              </w:rPr>
            </w:pPr>
            <w:r w:rsidRPr="00CB07BD">
              <w:rPr>
                <w:b/>
                <w:color w:val="3FA6CC" w:themeColor="accent1"/>
              </w:rPr>
              <w:t>Risk</w:t>
            </w:r>
          </w:p>
        </w:tc>
        <w:tc>
          <w:tcPr>
            <w:tcW w:w="5125" w:type="dxa"/>
            <w:vAlign w:val="center"/>
          </w:tcPr>
          <w:p w14:paraId="3AC1A25B" w14:textId="77777777" w:rsidR="008A08DA" w:rsidRPr="00CB07BD" w:rsidRDefault="008A08DA" w:rsidP="0047461F">
            <w:pPr>
              <w:pStyle w:val="BodyTextGrey"/>
              <w:spacing w:after="20" w:line="240" w:lineRule="auto"/>
              <w:rPr>
                <w:b/>
                <w:color w:val="3FA6CC" w:themeColor="accent1"/>
              </w:rPr>
            </w:pPr>
            <w:r w:rsidRPr="00CB07BD">
              <w:rPr>
                <w:b/>
                <w:color w:val="3FA6CC" w:themeColor="accent1"/>
              </w:rPr>
              <w:t xml:space="preserve">Control </w:t>
            </w:r>
          </w:p>
        </w:tc>
      </w:tr>
      <w:tr w:rsidR="008A08DA" w:rsidRPr="00056350" w14:paraId="69DD6735" w14:textId="77777777" w:rsidTr="0047461F">
        <w:trPr>
          <w:cantSplit/>
        </w:trPr>
        <w:tc>
          <w:tcPr>
            <w:tcW w:w="4514" w:type="dxa"/>
          </w:tcPr>
          <w:p w14:paraId="53FB8834" w14:textId="77777777" w:rsidR="008A08DA" w:rsidRPr="00056350" w:rsidRDefault="008A08DA" w:rsidP="0047461F">
            <w:pPr>
              <w:pStyle w:val="BodyTextGrey"/>
            </w:pPr>
            <w:r w:rsidRPr="00056350">
              <w:t>Changes to national pension requirements or HMRC rules</w:t>
            </w:r>
            <w:r>
              <w:t xml:space="preserve">. </w:t>
            </w:r>
          </w:p>
          <w:p w14:paraId="73A51B56" w14:textId="77777777" w:rsidR="008A08DA" w:rsidRPr="00056350" w:rsidRDefault="008A08DA" w:rsidP="0047461F">
            <w:pPr>
              <w:pStyle w:val="BodyTextGrey"/>
            </w:pPr>
          </w:p>
        </w:tc>
        <w:tc>
          <w:tcPr>
            <w:tcW w:w="5125" w:type="dxa"/>
          </w:tcPr>
          <w:p w14:paraId="2016BA64" w14:textId="77777777" w:rsidR="008A08DA" w:rsidRPr="0064257A" w:rsidRDefault="008A08DA" w:rsidP="0047461F">
            <w:pPr>
              <w:pStyle w:val="BodyTextGrey"/>
            </w:pPr>
            <w:r>
              <w:t xml:space="preserve">Consider all Government </w:t>
            </w:r>
            <w:r w:rsidRPr="0064257A">
              <w:t xml:space="preserve">consultation papers and comment where appropriate. </w:t>
            </w:r>
          </w:p>
          <w:p w14:paraId="4F9D8AA9" w14:textId="77777777" w:rsidR="008A08DA" w:rsidRPr="0064257A" w:rsidRDefault="008A08DA" w:rsidP="0047461F">
            <w:pPr>
              <w:pStyle w:val="BodyTextGrey"/>
              <w:rPr>
                <w:strike/>
              </w:rPr>
            </w:pPr>
            <w:r>
              <w:t xml:space="preserve">Build preferred solutions into valuations as required. </w:t>
            </w:r>
            <w:r w:rsidRPr="0064257A">
              <w:t xml:space="preserve"> </w:t>
            </w:r>
          </w:p>
        </w:tc>
      </w:tr>
      <w:tr w:rsidR="008A08DA" w:rsidRPr="00056350" w14:paraId="0B3EE8BC" w14:textId="77777777" w:rsidTr="0047461F">
        <w:trPr>
          <w:cantSplit/>
        </w:trPr>
        <w:tc>
          <w:tcPr>
            <w:tcW w:w="4514" w:type="dxa"/>
          </w:tcPr>
          <w:p w14:paraId="6DCD5915" w14:textId="4DBAF2FF" w:rsidR="008A08DA" w:rsidRPr="00056350" w:rsidRDefault="008A08DA" w:rsidP="0047461F">
            <w:pPr>
              <w:pStyle w:val="BodyTextGrey"/>
            </w:pPr>
            <w:r>
              <w:t xml:space="preserve">Time, cost or reputational risks associated with any </w:t>
            </w:r>
            <w:r w:rsidR="00D51230">
              <w:t>MHCLG</w:t>
            </w:r>
            <w:r>
              <w:t xml:space="preserve"> intervention triggered by the Section 13 analysis</w:t>
            </w:r>
          </w:p>
        </w:tc>
        <w:tc>
          <w:tcPr>
            <w:tcW w:w="5125" w:type="dxa"/>
          </w:tcPr>
          <w:p w14:paraId="79DF6BFE" w14:textId="77777777" w:rsidR="008A08DA" w:rsidRPr="00C060D0" w:rsidRDefault="008A08DA" w:rsidP="0047461F">
            <w:pPr>
              <w:pStyle w:val="BodyTextGrey"/>
            </w:pPr>
            <w:r>
              <w:t>Take advice from the Actuary and consider the proposed valuation approach, relative to anticipated Section 13 analysis.</w:t>
            </w:r>
          </w:p>
        </w:tc>
      </w:tr>
      <w:tr w:rsidR="008A08DA" w:rsidRPr="00056350" w14:paraId="6C10804A" w14:textId="77777777" w:rsidTr="0047461F">
        <w:trPr>
          <w:cantSplit/>
        </w:trPr>
        <w:tc>
          <w:tcPr>
            <w:tcW w:w="4514" w:type="dxa"/>
          </w:tcPr>
          <w:p w14:paraId="077338B6" w14:textId="6B2BA8D8" w:rsidR="008A08DA" w:rsidRDefault="008A08DA" w:rsidP="0047461F">
            <w:pPr>
              <w:pStyle w:val="BodyTextGrey"/>
            </w:pPr>
            <w:r>
              <w:t xml:space="preserve">Changes to employer participation in LGPS </w:t>
            </w:r>
            <w:r w:rsidR="00EB589C">
              <w:t>f</w:t>
            </w:r>
            <w:r>
              <w:t>unds leads to impacts on funding or investment strategies.</w:t>
            </w:r>
          </w:p>
        </w:tc>
        <w:tc>
          <w:tcPr>
            <w:tcW w:w="5125" w:type="dxa"/>
          </w:tcPr>
          <w:p w14:paraId="6A534B5F" w14:textId="77777777" w:rsidR="008A08DA" w:rsidRPr="0064257A" w:rsidRDefault="008A08DA" w:rsidP="0047461F">
            <w:pPr>
              <w:pStyle w:val="BodyTextGrey"/>
            </w:pPr>
            <w:r>
              <w:t xml:space="preserve">Consider all Government </w:t>
            </w:r>
            <w:r w:rsidRPr="0064257A">
              <w:t xml:space="preserve">consultation papers and comment where appropriate. </w:t>
            </w:r>
          </w:p>
          <w:p w14:paraId="187F70A1" w14:textId="77777777" w:rsidR="008A08DA" w:rsidRDefault="008A08DA" w:rsidP="0047461F">
            <w:pPr>
              <w:pStyle w:val="BodyTextGrey"/>
            </w:pPr>
            <w:r>
              <w:t>Take advice from the Fund Actuary and amend strategy.</w:t>
            </w:r>
          </w:p>
        </w:tc>
      </w:tr>
    </w:tbl>
    <w:p w14:paraId="7FEDF4A4" w14:textId="77777777" w:rsidR="00903EAC" w:rsidRDefault="00903EAC" w:rsidP="00903EAC">
      <w:pPr>
        <w:pStyle w:val="Appendix2"/>
      </w:pPr>
      <w:r>
        <w:lastRenderedPageBreak/>
        <w:t>D5 Governance risks</w:t>
      </w:r>
    </w:p>
    <w:tbl>
      <w:tblPr>
        <w:tblW w:w="0" w:type="auto"/>
        <w:tblInd w:w="108" w:type="dxa"/>
        <w:tblBorders>
          <w:bottom w:val="single" w:sz="4" w:space="0" w:color="auto"/>
          <w:insideH w:val="single" w:sz="8" w:space="0" w:color="455560" w:themeColor="accent5"/>
        </w:tblBorders>
        <w:tblLayout w:type="fixed"/>
        <w:tblLook w:val="01E0" w:firstRow="1" w:lastRow="1" w:firstColumn="1" w:lastColumn="1" w:noHBand="0" w:noVBand="0"/>
      </w:tblPr>
      <w:tblGrid>
        <w:gridCol w:w="4508"/>
        <w:gridCol w:w="5131"/>
      </w:tblGrid>
      <w:tr w:rsidR="00903EAC" w:rsidRPr="00345E57" w14:paraId="5D8BE567" w14:textId="77777777" w:rsidTr="0047461F">
        <w:trPr>
          <w:trHeight w:val="431"/>
          <w:tblHeader/>
        </w:trPr>
        <w:tc>
          <w:tcPr>
            <w:tcW w:w="4508" w:type="dxa"/>
            <w:vAlign w:val="center"/>
          </w:tcPr>
          <w:p w14:paraId="66CF3F92" w14:textId="77777777" w:rsidR="00903EAC" w:rsidRPr="00CB07BD" w:rsidRDefault="00903EAC" w:rsidP="0047461F">
            <w:pPr>
              <w:pStyle w:val="BodyTextGrey"/>
              <w:spacing w:after="20" w:line="240" w:lineRule="auto"/>
              <w:rPr>
                <w:b/>
                <w:color w:val="3FA6CC" w:themeColor="accent1"/>
              </w:rPr>
            </w:pPr>
            <w:r w:rsidRPr="00CB07BD">
              <w:rPr>
                <w:b/>
                <w:color w:val="3FA6CC" w:themeColor="accent1"/>
              </w:rPr>
              <w:t>Risk</w:t>
            </w:r>
          </w:p>
        </w:tc>
        <w:tc>
          <w:tcPr>
            <w:tcW w:w="5131" w:type="dxa"/>
            <w:vAlign w:val="center"/>
          </w:tcPr>
          <w:p w14:paraId="37C6B7F4" w14:textId="77777777" w:rsidR="00903EAC" w:rsidRPr="00CB07BD" w:rsidRDefault="00903EAC" w:rsidP="0047461F">
            <w:pPr>
              <w:pStyle w:val="BodyTextGrey"/>
              <w:spacing w:after="20" w:line="240" w:lineRule="auto"/>
              <w:rPr>
                <w:b/>
                <w:color w:val="3FA6CC" w:themeColor="accent1"/>
              </w:rPr>
            </w:pPr>
            <w:r w:rsidRPr="00CB07BD">
              <w:rPr>
                <w:b/>
                <w:color w:val="3FA6CC" w:themeColor="accent1"/>
              </w:rPr>
              <w:t xml:space="preserve">Control </w:t>
            </w:r>
          </w:p>
        </w:tc>
      </w:tr>
      <w:tr w:rsidR="00903EAC" w:rsidRPr="00345E57" w14:paraId="209978F9" w14:textId="77777777" w:rsidTr="0047461F">
        <w:trPr>
          <w:cantSplit/>
        </w:trPr>
        <w:tc>
          <w:tcPr>
            <w:tcW w:w="4508" w:type="dxa"/>
          </w:tcPr>
          <w:p w14:paraId="5AEC917C" w14:textId="79546990" w:rsidR="00903EAC" w:rsidRPr="000E214D" w:rsidRDefault="00903EAC" w:rsidP="0047461F">
            <w:pPr>
              <w:pStyle w:val="BodyTextGrey"/>
            </w:pPr>
            <w:r>
              <w:t>The administering authority</w:t>
            </w:r>
            <w:r w:rsidRPr="000E214D">
              <w:t xml:space="preserve"> </w:t>
            </w:r>
            <w:r>
              <w:t>is not aware of employer membership changes, for example a l</w:t>
            </w:r>
            <w:r w:rsidRPr="000E214D">
              <w:t>arge fall in employee member</w:t>
            </w:r>
            <w:r>
              <w:t xml:space="preserve">s, large number of retirements, or is not </w:t>
            </w:r>
            <w:r w:rsidRPr="000E214D">
              <w:t xml:space="preserve">advised </w:t>
            </w:r>
            <w:r>
              <w:t xml:space="preserve">that </w:t>
            </w:r>
            <w:r w:rsidRPr="000E214D">
              <w:t>an employer</w:t>
            </w:r>
            <w:r>
              <w:t xml:space="preserve"> is closed </w:t>
            </w:r>
            <w:r w:rsidRPr="000E214D">
              <w:t>to new entrants.</w:t>
            </w:r>
          </w:p>
        </w:tc>
        <w:tc>
          <w:tcPr>
            <w:tcW w:w="5131" w:type="dxa"/>
          </w:tcPr>
          <w:p w14:paraId="40961F8F" w14:textId="0251A791" w:rsidR="00903EAC" w:rsidRPr="006322FE" w:rsidRDefault="00903EAC" w:rsidP="0047461F">
            <w:pPr>
              <w:pStyle w:val="BodyTextGrey"/>
            </w:pPr>
            <w:r>
              <w:t xml:space="preserve">The administering authority develops </w:t>
            </w:r>
            <w:r w:rsidRPr="006322FE">
              <w:t>a close relationship with employing bodies and communicate</w:t>
            </w:r>
            <w:r>
              <w:t>s</w:t>
            </w:r>
            <w:r w:rsidRPr="006322FE">
              <w:t xml:space="preserve"> required standards</w:t>
            </w:r>
            <w:r>
              <w:t xml:space="preserve">. </w:t>
            </w:r>
            <w:r w:rsidRPr="006322FE">
              <w:t xml:space="preserve"> </w:t>
            </w:r>
          </w:p>
          <w:p w14:paraId="5A457ECC" w14:textId="0BC45106" w:rsidR="00903EAC" w:rsidRPr="006322FE" w:rsidRDefault="00903EAC" w:rsidP="0047461F">
            <w:pPr>
              <w:pStyle w:val="BodyTextGrey"/>
            </w:pPr>
            <w:r w:rsidRPr="006322FE">
              <w:t xml:space="preserve">The </w:t>
            </w:r>
            <w:r>
              <w:t>Actuary</w:t>
            </w:r>
            <w:r w:rsidRPr="006322FE">
              <w:t xml:space="preserve"> may revise the </w:t>
            </w:r>
            <w:r>
              <w:t>R</w:t>
            </w:r>
            <w:r w:rsidRPr="006322FE">
              <w:t xml:space="preserve">ates and </w:t>
            </w:r>
            <w:r>
              <w:t>A</w:t>
            </w:r>
            <w:r w:rsidRPr="006322FE">
              <w:t>djustments certificate to increase an employer’s contributions between valuations</w:t>
            </w:r>
          </w:p>
          <w:p w14:paraId="371E4DBF" w14:textId="77777777" w:rsidR="00903EAC" w:rsidRPr="006322FE" w:rsidRDefault="00903EAC" w:rsidP="0047461F">
            <w:pPr>
              <w:pStyle w:val="BodyTextGrey"/>
            </w:pPr>
            <w:r w:rsidRPr="006322FE">
              <w:t>Deficit contributions may be expressed as monetary amounts.</w:t>
            </w:r>
          </w:p>
        </w:tc>
      </w:tr>
      <w:tr w:rsidR="00903EAC" w:rsidRPr="00345E57" w14:paraId="0CACD248" w14:textId="77777777" w:rsidTr="0047461F">
        <w:tc>
          <w:tcPr>
            <w:tcW w:w="4508" w:type="dxa"/>
          </w:tcPr>
          <w:p w14:paraId="3AC2A11A" w14:textId="77777777" w:rsidR="00903EAC" w:rsidRPr="000E214D" w:rsidRDefault="00903EAC" w:rsidP="0047461F">
            <w:pPr>
              <w:pStyle w:val="BodyTextGrey"/>
            </w:pPr>
            <w:r>
              <w:t xml:space="preserve">Actuarial or investment advice is not </w:t>
            </w:r>
            <w:proofErr w:type="gramStart"/>
            <w:r>
              <w:t>sought,  heeded</w:t>
            </w:r>
            <w:proofErr w:type="gramEnd"/>
            <w:r>
              <w:t>, or proves to be insufficient in some way</w:t>
            </w:r>
          </w:p>
        </w:tc>
        <w:tc>
          <w:tcPr>
            <w:tcW w:w="5131" w:type="dxa"/>
          </w:tcPr>
          <w:p w14:paraId="57AB4892" w14:textId="441EBD23" w:rsidR="00903EAC" w:rsidRDefault="00903EAC" w:rsidP="0047461F">
            <w:pPr>
              <w:pStyle w:val="BodyTextGrey"/>
            </w:pPr>
            <w:r>
              <w:t>The administering authority maintains close contact with its advisers.</w:t>
            </w:r>
          </w:p>
          <w:p w14:paraId="610BF8FB" w14:textId="77777777" w:rsidR="00903EAC" w:rsidRDefault="00903EAC" w:rsidP="0047461F">
            <w:pPr>
              <w:pStyle w:val="BodyTextGrey"/>
            </w:pPr>
            <w:r>
              <w:t>Advice is delivered through formal meetings and recorded appropriately.</w:t>
            </w:r>
          </w:p>
          <w:p w14:paraId="235B9D43" w14:textId="77777777" w:rsidR="00903EAC" w:rsidRPr="006322FE" w:rsidRDefault="00903EAC" w:rsidP="0047461F">
            <w:pPr>
              <w:pStyle w:val="BodyTextGrey"/>
            </w:pPr>
            <w:r>
              <w:t>Actuarial advice is subject to professional requirements like peer review.</w:t>
            </w:r>
          </w:p>
        </w:tc>
      </w:tr>
      <w:tr w:rsidR="00903EAC" w:rsidRPr="00345E57" w14:paraId="4E216DC8" w14:textId="77777777" w:rsidTr="0047461F">
        <w:tc>
          <w:tcPr>
            <w:tcW w:w="4508" w:type="dxa"/>
          </w:tcPr>
          <w:p w14:paraId="5D0BDDCF" w14:textId="0A880919" w:rsidR="00903EAC" w:rsidRPr="000E214D" w:rsidRDefault="00903EAC" w:rsidP="0047461F">
            <w:pPr>
              <w:pStyle w:val="BodyTextGrey"/>
            </w:pPr>
            <w:r>
              <w:t xml:space="preserve">The </w:t>
            </w:r>
            <w:r w:rsidR="00731B4E">
              <w:t>a</w:t>
            </w:r>
            <w:r>
              <w:t xml:space="preserve">dministering </w:t>
            </w:r>
            <w:r w:rsidR="00731B4E">
              <w:t>a</w:t>
            </w:r>
            <w:r>
              <w:t>uthority</w:t>
            </w:r>
            <w:r w:rsidRPr="000E214D">
              <w:t xml:space="preserve"> fai</w:t>
            </w:r>
            <w:r>
              <w:t>ls t</w:t>
            </w:r>
            <w:r w:rsidRPr="000E214D">
              <w:t xml:space="preserve">o commission the </w:t>
            </w:r>
            <w:r>
              <w:t>Actuary</w:t>
            </w:r>
            <w:r w:rsidRPr="000E214D">
              <w:t xml:space="preserve"> to carry out a termination valuation for a</w:t>
            </w:r>
            <w:r>
              <w:t xml:space="preserve">n admission body leaving the Fund. </w:t>
            </w:r>
          </w:p>
        </w:tc>
        <w:tc>
          <w:tcPr>
            <w:tcW w:w="5131" w:type="dxa"/>
          </w:tcPr>
          <w:p w14:paraId="2B493D3F" w14:textId="7E867B60" w:rsidR="00903EAC" w:rsidRDefault="00903EAC" w:rsidP="0047461F">
            <w:pPr>
              <w:pStyle w:val="BodyTextGrey"/>
            </w:pPr>
            <w:r w:rsidRPr="006322FE">
              <w:t xml:space="preserve">The </w:t>
            </w:r>
            <w:r w:rsidR="00731B4E">
              <w:t>a</w:t>
            </w:r>
            <w:r>
              <w:t xml:space="preserve">dministering </w:t>
            </w:r>
            <w:r w:rsidR="00731B4E">
              <w:t>a</w:t>
            </w:r>
            <w:r>
              <w:t>uthority</w:t>
            </w:r>
            <w:r w:rsidRPr="006322FE">
              <w:t xml:space="preserve"> requires employers with Best Value contractors to inform it of changes.</w:t>
            </w:r>
          </w:p>
          <w:p w14:paraId="33BF54B5" w14:textId="551C18F7" w:rsidR="00903EAC" w:rsidRPr="006322FE" w:rsidRDefault="00903EAC" w:rsidP="0047461F">
            <w:pPr>
              <w:pStyle w:val="BodyTextGrey"/>
            </w:pPr>
            <w:r>
              <w:t xml:space="preserve">CABs’ memberships are </w:t>
            </w:r>
            <w:r w:rsidR="00731B4E">
              <w:t>monitored,</w:t>
            </w:r>
            <w:r>
              <w:t xml:space="preserve"> and steps are taken if active membership decreases.</w:t>
            </w:r>
          </w:p>
        </w:tc>
      </w:tr>
      <w:tr w:rsidR="00903EAC" w:rsidRPr="00345E57" w14:paraId="12B5006F" w14:textId="77777777" w:rsidTr="0047461F">
        <w:tc>
          <w:tcPr>
            <w:tcW w:w="4508" w:type="dxa"/>
            <w:tcBorders>
              <w:bottom w:val="single" w:sz="8" w:space="0" w:color="455560" w:themeColor="accent5"/>
            </w:tcBorders>
          </w:tcPr>
          <w:p w14:paraId="737D7D2D" w14:textId="77777777" w:rsidR="00903EAC" w:rsidRDefault="00903EAC" w:rsidP="0047461F">
            <w:pPr>
              <w:pStyle w:val="BodyTextGrey"/>
            </w:pPr>
            <w:r w:rsidRPr="0064257A">
              <w:t>An employer ceas</w:t>
            </w:r>
            <w:r>
              <w:t xml:space="preserve">es </w:t>
            </w:r>
            <w:r w:rsidRPr="0064257A">
              <w:t xml:space="preserve">to exist with insufficient funding or </w:t>
            </w:r>
            <w:r>
              <w:t xml:space="preserve">bonds. </w:t>
            </w:r>
          </w:p>
          <w:p w14:paraId="30381A4A" w14:textId="77777777" w:rsidR="00903EAC" w:rsidRPr="0064257A" w:rsidRDefault="00903EAC" w:rsidP="0047461F">
            <w:pPr>
              <w:pStyle w:val="BodyTextGrey"/>
            </w:pPr>
          </w:p>
          <w:p w14:paraId="735554EF" w14:textId="77777777" w:rsidR="00903EAC" w:rsidRPr="0064257A" w:rsidRDefault="00903EAC" w:rsidP="0047461F">
            <w:pPr>
              <w:pStyle w:val="BodyTextGrey"/>
            </w:pPr>
          </w:p>
        </w:tc>
        <w:tc>
          <w:tcPr>
            <w:tcW w:w="5131" w:type="dxa"/>
            <w:tcBorders>
              <w:bottom w:val="single" w:sz="8" w:space="0" w:color="455560" w:themeColor="accent5"/>
            </w:tcBorders>
          </w:tcPr>
          <w:p w14:paraId="2BA83CAD" w14:textId="77777777" w:rsidR="00903EAC" w:rsidRPr="0064257A" w:rsidRDefault="00903EAC" w:rsidP="0047461F">
            <w:pPr>
              <w:pStyle w:val="BodyTextGrey"/>
            </w:pPr>
            <w:r>
              <w:t xml:space="preserve">It’s normally too late to manage this risk if left to the time of departure. This risk is mitigated by: </w:t>
            </w:r>
          </w:p>
          <w:p w14:paraId="702C8965" w14:textId="77777777" w:rsidR="00903EAC" w:rsidRPr="0064257A" w:rsidRDefault="00903EAC" w:rsidP="0047461F">
            <w:pPr>
              <w:pStyle w:val="BodyTextGrey"/>
            </w:pPr>
            <w:r w:rsidRPr="0064257A">
              <w:t>Seeking a funding guarantee from another scheme employer, or external body</w:t>
            </w:r>
            <w:r>
              <w:t>.</w:t>
            </w:r>
          </w:p>
          <w:p w14:paraId="779FCBA5" w14:textId="77777777" w:rsidR="00903EAC" w:rsidRPr="0064257A" w:rsidRDefault="00903EAC" w:rsidP="0047461F">
            <w:pPr>
              <w:pStyle w:val="BodyTextGrey"/>
            </w:pPr>
            <w:r w:rsidRPr="0064257A">
              <w:t xml:space="preserve">Alerting the prospective employer to its obligations and encouraging it to take independent actuarial advice. </w:t>
            </w:r>
          </w:p>
          <w:p w14:paraId="48545EC5" w14:textId="77777777" w:rsidR="00903EAC" w:rsidRPr="0064257A" w:rsidRDefault="00903EAC" w:rsidP="0047461F">
            <w:pPr>
              <w:pStyle w:val="BodyTextGrey"/>
            </w:pPr>
            <w:r w:rsidRPr="0064257A">
              <w:t>Vetting prospective employers before admission.</w:t>
            </w:r>
          </w:p>
          <w:p w14:paraId="67C47FB5" w14:textId="77777777" w:rsidR="00903EAC" w:rsidRPr="0064257A" w:rsidRDefault="00903EAC" w:rsidP="0047461F">
            <w:pPr>
              <w:pStyle w:val="BodyTextGrey"/>
            </w:pPr>
            <w:r>
              <w:t>R</w:t>
            </w:r>
            <w:r w:rsidRPr="0064257A">
              <w:t xml:space="preserve">equiring a bond to protect </w:t>
            </w:r>
            <w:r>
              <w:t xml:space="preserve">the Fund, where permitted. </w:t>
            </w:r>
          </w:p>
          <w:p w14:paraId="78644247" w14:textId="77777777" w:rsidR="00903EAC" w:rsidRPr="0064257A" w:rsidRDefault="00903EAC" w:rsidP="0047461F">
            <w:pPr>
              <w:pStyle w:val="BodyTextGrey"/>
            </w:pPr>
            <w:r w:rsidRPr="0064257A">
              <w:t xml:space="preserve">Requiring </w:t>
            </w:r>
            <w:r>
              <w:t xml:space="preserve">a guarantor for </w:t>
            </w:r>
            <w:r w:rsidRPr="0064257A">
              <w:t>new C</w:t>
            </w:r>
            <w:r>
              <w:t xml:space="preserve">ABs. </w:t>
            </w:r>
          </w:p>
          <w:p w14:paraId="394FA3D7" w14:textId="77777777" w:rsidR="00903EAC" w:rsidRPr="0064257A" w:rsidRDefault="00903EAC" w:rsidP="0047461F">
            <w:pPr>
              <w:pStyle w:val="BodyTextGrey"/>
            </w:pPr>
            <w:r w:rsidRPr="0064257A">
              <w:t>R</w:t>
            </w:r>
            <w:r>
              <w:t>egularly r</w:t>
            </w:r>
            <w:r w:rsidRPr="0064257A">
              <w:t>eviewing bond or guarantor arrangements</w:t>
            </w:r>
            <w:r>
              <w:t xml:space="preserve">. </w:t>
            </w:r>
          </w:p>
          <w:p w14:paraId="3F4D474C" w14:textId="77777777" w:rsidR="00903EAC" w:rsidRPr="0064257A" w:rsidRDefault="00903EAC" w:rsidP="0047461F">
            <w:pPr>
              <w:pStyle w:val="BodyTextGrey"/>
            </w:pPr>
            <w:r w:rsidRPr="0064257A">
              <w:t>Reviewing contributions well ahead of cessatio</w:t>
            </w:r>
            <w:r>
              <w:t xml:space="preserve">n. </w:t>
            </w:r>
          </w:p>
        </w:tc>
      </w:tr>
      <w:tr w:rsidR="00903EAC" w:rsidRPr="00345E57" w14:paraId="4F95447B" w14:textId="77777777" w:rsidTr="0047461F">
        <w:tc>
          <w:tcPr>
            <w:tcW w:w="4508" w:type="dxa"/>
            <w:tcBorders>
              <w:top w:val="single" w:sz="8" w:space="0" w:color="455560" w:themeColor="accent5"/>
              <w:bottom w:val="nil"/>
            </w:tcBorders>
          </w:tcPr>
          <w:p w14:paraId="44DE6349" w14:textId="77777777" w:rsidR="00903EAC" w:rsidRPr="008E6618" w:rsidRDefault="00903EAC" w:rsidP="0047461F">
            <w:pPr>
              <w:pStyle w:val="BodyTextGrey"/>
            </w:pPr>
            <w:r w:rsidRPr="008E6618">
              <w:t>An employer ceas</w:t>
            </w:r>
            <w:r>
              <w:t xml:space="preserve">es </w:t>
            </w:r>
            <w:r w:rsidRPr="008E6618">
              <w:t>to exist</w:t>
            </w:r>
            <w:r>
              <w:t xml:space="preserve">, so an </w:t>
            </w:r>
            <w:r w:rsidRPr="008E6618">
              <w:t xml:space="preserve">exit credit </w:t>
            </w:r>
            <w:r>
              <w:t>is</w:t>
            </w:r>
            <w:r w:rsidRPr="008E6618">
              <w:t xml:space="preserve"> payable</w:t>
            </w:r>
            <w:r>
              <w:t xml:space="preserve">. </w:t>
            </w:r>
          </w:p>
          <w:p w14:paraId="2293D3DE" w14:textId="77777777" w:rsidR="00903EAC" w:rsidRPr="008E6618" w:rsidRDefault="00903EAC" w:rsidP="0047461F">
            <w:pPr>
              <w:pStyle w:val="BodyTextGrey"/>
            </w:pPr>
          </w:p>
        </w:tc>
        <w:tc>
          <w:tcPr>
            <w:tcW w:w="5131" w:type="dxa"/>
            <w:tcBorders>
              <w:top w:val="single" w:sz="8" w:space="0" w:color="455560" w:themeColor="accent5"/>
              <w:bottom w:val="nil"/>
            </w:tcBorders>
          </w:tcPr>
          <w:p w14:paraId="1C33B827" w14:textId="3F36D138" w:rsidR="00903EAC" w:rsidRPr="008E6618" w:rsidRDefault="00903EAC" w:rsidP="0047461F">
            <w:pPr>
              <w:pStyle w:val="BodyTextGrey"/>
            </w:pPr>
            <w:r w:rsidRPr="008E6618">
              <w:t xml:space="preserve">The </w:t>
            </w:r>
            <w:r w:rsidR="00316417">
              <w:t>a</w:t>
            </w:r>
            <w:r>
              <w:t xml:space="preserve">dministering </w:t>
            </w:r>
            <w:r w:rsidR="00316417">
              <w:t>a</w:t>
            </w:r>
            <w:r>
              <w:t>uthority</w:t>
            </w:r>
            <w:r w:rsidRPr="008E6618">
              <w:t xml:space="preserve"> regularly monitors admission bodies coming up to cessation</w:t>
            </w:r>
            <w:r>
              <w:t xml:space="preserve">. </w:t>
            </w:r>
          </w:p>
          <w:p w14:paraId="072C751B" w14:textId="4C3A40C7" w:rsidR="00903EAC" w:rsidRPr="008E6618" w:rsidRDefault="00903EAC" w:rsidP="0047461F">
            <w:pPr>
              <w:pStyle w:val="BodyTextGrey"/>
            </w:pPr>
            <w:r w:rsidRPr="008E6618">
              <w:t xml:space="preserve">The </w:t>
            </w:r>
            <w:r w:rsidR="00C90121">
              <w:t>a</w:t>
            </w:r>
            <w:r>
              <w:t xml:space="preserve">dministering </w:t>
            </w:r>
            <w:r w:rsidR="00C90121">
              <w:t>a</w:t>
            </w:r>
            <w:r>
              <w:t>uthority</w:t>
            </w:r>
            <w:r w:rsidRPr="008E6618">
              <w:t xml:space="preserve"> invests in liquid assets </w:t>
            </w:r>
            <w:r>
              <w:t xml:space="preserve">so that </w:t>
            </w:r>
            <w:r w:rsidRPr="008E6618">
              <w:t>exit credits can be paid</w:t>
            </w:r>
            <w:r>
              <w:t xml:space="preserve">. </w:t>
            </w:r>
          </w:p>
        </w:tc>
      </w:tr>
    </w:tbl>
    <w:p w14:paraId="406A5C79" w14:textId="1746724A" w:rsidR="009E6647" w:rsidRPr="00D25670" w:rsidRDefault="00D144BF" w:rsidP="009E6647">
      <w:pPr>
        <w:pStyle w:val="Appendix2"/>
      </w:pPr>
      <w:bookmarkStart w:id="136" w:name="AppendixD"/>
      <w:bookmarkStart w:id="137" w:name="_Toc110256352"/>
      <w:bookmarkStart w:id="138" w:name="_Toc16081866"/>
      <w:bookmarkStart w:id="139" w:name="_Toc16081914"/>
      <w:bookmarkStart w:id="140" w:name="_Toc75375190"/>
      <w:bookmarkStart w:id="141" w:name="_Toc75445259"/>
      <w:bookmarkEnd w:id="136"/>
      <w:r>
        <w:lastRenderedPageBreak/>
        <w:t>D</w:t>
      </w:r>
      <w:r w:rsidR="008E49AA">
        <w:t>6</w:t>
      </w:r>
      <w:r w:rsidR="009E6647" w:rsidRPr="00D25670">
        <w:t xml:space="preserve"> Employer covenant assessment and monitoring </w:t>
      </w:r>
    </w:p>
    <w:p w14:paraId="4B6A6480" w14:textId="5395E3AD" w:rsidR="009E6647" w:rsidRPr="009E6647" w:rsidRDefault="009E6647" w:rsidP="009E6647">
      <w:pPr>
        <w:pStyle w:val="BodyTextGrey"/>
      </w:pPr>
      <w:r w:rsidRPr="009E6647">
        <w:t xml:space="preserve">Many of the employers participating in the </w:t>
      </w:r>
      <w:r w:rsidR="008E49AA">
        <w:t>F</w:t>
      </w:r>
      <w:r w:rsidRPr="009E6647">
        <w:t xml:space="preserve">und, such as </w:t>
      </w:r>
      <w:r w:rsidR="00D25670">
        <w:t xml:space="preserve">admitted bodies (including </w:t>
      </w:r>
      <w:r w:rsidRPr="009E6647">
        <w:t>TABs and CABs</w:t>
      </w:r>
      <w:r w:rsidR="00D25670">
        <w:t>)</w:t>
      </w:r>
      <w:r w:rsidRPr="009E6647">
        <w:t xml:space="preserve">, have no local tax-raising powers. The </w:t>
      </w:r>
      <w:r w:rsidR="008E49AA">
        <w:t>F</w:t>
      </w:r>
      <w:r w:rsidRPr="009E6647">
        <w:t>und assesses and monitors the long-term financial health of these employers to assess an appropriate level of risk for each employer’s funding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3574"/>
        <w:gridCol w:w="3574"/>
      </w:tblGrid>
      <w:tr w:rsidR="009E6647" w:rsidRPr="009E6647" w14:paraId="5DD11C02" w14:textId="77777777" w:rsidTr="00751E37">
        <w:trPr>
          <w:trHeight w:val="458"/>
          <w:tblHeader/>
        </w:trPr>
        <w:tc>
          <w:tcPr>
            <w:tcW w:w="1398" w:type="pct"/>
            <w:tcBorders>
              <w:top w:val="nil"/>
              <w:left w:val="nil"/>
              <w:bottom w:val="single" w:sz="12" w:space="0" w:color="3FA6CC" w:themeColor="accent1"/>
              <w:right w:val="nil"/>
            </w:tcBorders>
            <w:vAlign w:val="center"/>
          </w:tcPr>
          <w:p w14:paraId="4B9E5479" w14:textId="77777777" w:rsidR="009E6647" w:rsidRPr="009E6647" w:rsidRDefault="009E6647" w:rsidP="00751E37">
            <w:pPr>
              <w:pStyle w:val="BodyTextGrey"/>
              <w:spacing w:after="20" w:line="240" w:lineRule="auto"/>
              <w:rPr>
                <w:b/>
                <w:color w:val="3FA6CC" w:themeColor="accent1"/>
              </w:rPr>
            </w:pPr>
            <w:r w:rsidRPr="009E6647">
              <w:rPr>
                <w:b/>
                <w:color w:val="3FA6CC" w:themeColor="accent1"/>
              </w:rPr>
              <w:t>Type of employer</w:t>
            </w:r>
          </w:p>
        </w:tc>
        <w:tc>
          <w:tcPr>
            <w:tcW w:w="1801" w:type="pct"/>
            <w:tcBorders>
              <w:top w:val="nil"/>
              <w:left w:val="nil"/>
              <w:bottom w:val="single" w:sz="12" w:space="0" w:color="3FA6CC" w:themeColor="accent1"/>
              <w:right w:val="nil"/>
            </w:tcBorders>
            <w:vAlign w:val="center"/>
          </w:tcPr>
          <w:p w14:paraId="141B74DC" w14:textId="77777777" w:rsidR="009E6647" w:rsidRPr="009E6647" w:rsidRDefault="009E6647" w:rsidP="00751E37">
            <w:pPr>
              <w:pStyle w:val="BodyTextGrey"/>
              <w:spacing w:after="20" w:line="240" w:lineRule="auto"/>
              <w:rPr>
                <w:b/>
                <w:color w:val="3FA6CC" w:themeColor="accent1"/>
              </w:rPr>
            </w:pPr>
            <w:r w:rsidRPr="009E6647">
              <w:rPr>
                <w:b/>
                <w:color w:val="3FA6CC" w:themeColor="accent1"/>
              </w:rPr>
              <w:t xml:space="preserve">Assessment </w:t>
            </w:r>
          </w:p>
        </w:tc>
        <w:tc>
          <w:tcPr>
            <w:tcW w:w="1801" w:type="pct"/>
            <w:tcBorders>
              <w:top w:val="nil"/>
              <w:left w:val="nil"/>
              <w:bottom w:val="single" w:sz="12" w:space="0" w:color="3FA6CC" w:themeColor="accent1"/>
              <w:right w:val="nil"/>
            </w:tcBorders>
          </w:tcPr>
          <w:p w14:paraId="7C5ED9A9" w14:textId="77777777" w:rsidR="009E6647" w:rsidRPr="009E6647" w:rsidRDefault="009E6647" w:rsidP="00751E37">
            <w:pPr>
              <w:pStyle w:val="BodyTextGrey"/>
              <w:spacing w:after="20" w:line="240" w:lineRule="auto"/>
              <w:rPr>
                <w:b/>
                <w:color w:val="3FA6CC" w:themeColor="accent1"/>
              </w:rPr>
            </w:pPr>
            <w:r w:rsidRPr="009E6647">
              <w:rPr>
                <w:b/>
                <w:color w:val="3FA6CC" w:themeColor="accent1"/>
              </w:rPr>
              <w:t>Monitoring</w:t>
            </w:r>
          </w:p>
        </w:tc>
      </w:tr>
      <w:tr w:rsidR="009E6647" w:rsidRPr="009E6647" w14:paraId="40CAFCD2" w14:textId="77777777" w:rsidTr="00751E37">
        <w:tc>
          <w:tcPr>
            <w:tcW w:w="1398" w:type="pct"/>
            <w:tcBorders>
              <w:top w:val="single" w:sz="12" w:space="0" w:color="3FA6CC" w:themeColor="accent1"/>
              <w:left w:val="nil"/>
              <w:bottom w:val="single" w:sz="8" w:space="0" w:color="455560" w:themeColor="accent5"/>
              <w:right w:val="nil"/>
            </w:tcBorders>
          </w:tcPr>
          <w:p w14:paraId="3A2C5D0E" w14:textId="77777777" w:rsidR="009E6647" w:rsidRPr="009E6647" w:rsidRDefault="009E6647" w:rsidP="00751E37">
            <w:pPr>
              <w:pStyle w:val="BodyTextGrey"/>
            </w:pPr>
            <w:r w:rsidRPr="009E6647">
              <w:t>Local Authorities, Police, Fire</w:t>
            </w:r>
          </w:p>
        </w:tc>
        <w:tc>
          <w:tcPr>
            <w:tcW w:w="1801" w:type="pct"/>
            <w:tcBorders>
              <w:top w:val="single" w:sz="12" w:space="0" w:color="3FA6CC" w:themeColor="accent1"/>
              <w:left w:val="nil"/>
              <w:bottom w:val="single" w:sz="8" w:space="0" w:color="455560" w:themeColor="accent5"/>
              <w:right w:val="nil"/>
            </w:tcBorders>
          </w:tcPr>
          <w:p w14:paraId="52FAC43E" w14:textId="77777777" w:rsidR="009E6647" w:rsidRPr="009E6647" w:rsidRDefault="009E6647" w:rsidP="00751E37">
            <w:pPr>
              <w:pStyle w:val="BodyTextGrey"/>
            </w:pPr>
            <w:r w:rsidRPr="009E6647">
              <w:t xml:space="preserve">Tax-raising or government-backed, no individual assessment required </w:t>
            </w:r>
          </w:p>
        </w:tc>
        <w:tc>
          <w:tcPr>
            <w:tcW w:w="1801" w:type="pct"/>
            <w:tcBorders>
              <w:top w:val="single" w:sz="12" w:space="0" w:color="3FA6CC" w:themeColor="accent1"/>
              <w:left w:val="nil"/>
              <w:bottom w:val="single" w:sz="8" w:space="0" w:color="455560" w:themeColor="accent5"/>
              <w:right w:val="nil"/>
            </w:tcBorders>
          </w:tcPr>
          <w:p w14:paraId="79475669" w14:textId="77777777" w:rsidR="009E6647" w:rsidRPr="009E6647" w:rsidRDefault="009E6647" w:rsidP="00751E37">
            <w:pPr>
              <w:pStyle w:val="BodyTextGrey"/>
            </w:pPr>
            <w:r w:rsidRPr="009E6647">
              <w:t>n/a</w:t>
            </w:r>
          </w:p>
        </w:tc>
      </w:tr>
      <w:tr w:rsidR="008C6647" w:rsidRPr="009E6647" w14:paraId="5B204389" w14:textId="77777777" w:rsidTr="00751E37">
        <w:tc>
          <w:tcPr>
            <w:tcW w:w="1398" w:type="pct"/>
            <w:tcBorders>
              <w:top w:val="single" w:sz="8" w:space="0" w:color="455560" w:themeColor="accent5"/>
              <w:left w:val="nil"/>
              <w:bottom w:val="single" w:sz="8" w:space="0" w:color="455560" w:themeColor="accent5"/>
              <w:right w:val="nil"/>
            </w:tcBorders>
          </w:tcPr>
          <w:p w14:paraId="4651D5BC" w14:textId="384C45EE" w:rsidR="008C6647" w:rsidRPr="009E6647" w:rsidRDefault="008C6647" w:rsidP="008C6647">
            <w:pPr>
              <w:pStyle w:val="BodyTextGrey"/>
            </w:pPr>
            <w:r w:rsidRPr="009E6647">
              <w:t xml:space="preserve">Colleges </w:t>
            </w:r>
          </w:p>
        </w:tc>
        <w:tc>
          <w:tcPr>
            <w:tcW w:w="1801" w:type="pct"/>
            <w:tcBorders>
              <w:top w:val="single" w:sz="8" w:space="0" w:color="455560" w:themeColor="accent5"/>
              <w:left w:val="nil"/>
              <w:bottom w:val="single" w:sz="8" w:space="0" w:color="455560" w:themeColor="accent5"/>
              <w:right w:val="nil"/>
            </w:tcBorders>
          </w:tcPr>
          <w:p w14:paraId="4C817825" w14:textId="61238C62" w:rsidR="008C6647" w:rsidRPr="009E6647" w:rsidRDefault="008C6647" w:rsidP="008C6647">
            <w:pPr>
              <w:pStyle w:val="BodyTextGrey"/>
              <w:rPr>
                <w:highlight w:val="yellow"/>
              </w:rPr>
            </w:pPr>
            <w:r w:rsidRPr="009E6647">
              <w:t>Government-backed, covered by DfE guarantee in event of failure</w:t>
            </w:r>
          </w:p>
        </w:tc>
        <w:tc>
          <w:tcPr>
            <w:tcW w:w="1801" w:type="pct"/>
            <w:tcBorders>
              <w:top w:val="single" w:sz="8" w:space="0" w:color="455560" w:themeColor="accent5"/>
              <w:left w:val="nil"/>
              <w:bottom w:val="single" w:sz="8" w:space="0" w:color="455560" w:themeColor="accent5"/>
              <w:right w:val="nil"/>
            </w:tcBorders>
          </w:tcPr>
          <w:p w14:paraId="1DEAFE08" w14:textId="2BCD6C09" w:rsidR="008C6647" w:rsidRPr="009E6647" w:rsidRDefault="008C6647" w:rsidP="008C6647">
            <w:pPr>
              <w:pStyle w:val="BodyTextGrey"/>
              <w:rPr>
                <w:highlight w:val="yellow"/>
              </w:rPr>
            </w:pPr>
            <w:r w:rsidRPr="009E6647">
              <w:t xml:space="preserve">Check that DfE guarantee continues, after regular scheduled DfE review </w:t>
            </w:r>
          </w:p>
        </w:tc>
      </w:tr>
      <w:tr w:rsidR="009E6647" w:rsidRPr="009E6647" w14:paraId="64DDAD77" w14:textId="77777777" w:rsidTr="00751E37">
        <w:tc>
          <w:tcPr>
            <w:tcW w:w="1398" w:type="pct"/>
            <w:tcBorders>
              <w:top w:val="single" w:sz="8" w:space="0" w:color="455560" w:themeColor="accent5"/>
              <w:left w:val="nil"/>
              <w:bottom w:val="nil"/>
              <w:right w:val="nil"/>
            </w:tcBorders>
          </w:tcPr>
          <w:p w14:paraId="7FCBB54F" w14:textId="77777777" w:rsidR="009E6647" w:rsidRPr="009E6647" w:rsidRDefault="009E6647" w:rsidP="00751E37">
            <w:pPr>
              <w:pStyle w:val="BodyTextGrey"/>
            </w:pPr>
            <w:r w:rsidRPr="009E6647">
              <w:t>Academies</w:t>
            </w:r>
          </w:p>
        </w:tc>
        <w:tc>
          <w:tcPr>
            <w:tcW w:w="1801" w:type="pct"/>
            <w:tcBorders>
              <w:top w:val="single" w:sz="8" w:space="0" w:color="455560" w:themeColor="accent5"/>
              <w:left w:val="nil"/>
              <w:bottom w:val="nil"/>
              <w:right w:val="nil"/>
            </w:tcBorders>
          </w:tcPr>
          <w:p w14:paraId="44F79009" w14:textId="77777777" w:rsidR="009E6647" w:rsidRPr="009E6647" w:rsidRDefault="009E6647" w:rsidP="00751E37">
            <w:pPr>
              <w:pStyle w:val="BodyTextGrey"/>
            </w:pPr>
            <w:r w:rsidRPr="009E6647">
              <w:t>Government-backed, covered by DfE guarantee in event of MAT failure</w:t>
            </w:r>
          </w:p>
        </w:tc>
        <w:tc>
          <w:tcPr>
            <w:tcW w:w="1801" w:type="pct"/>
            <w:tcBorders>
              <w:top w:val="single" w:sz="8" w:space="0" w:color="455560" w:themeColor="accent5"/>
              <w:left w:val="nil"/>
              <w:bottom w:val="nil"/>
              <w:right w:val="nil"/>
            </w:tcBorders>
          </w:tcPr>
          <w:p w14:paraId="685D7851" w14:textId="77777777" w:rsidR="009E6647" w:rsidRPr="009E6647" w:rsidRDefault="009E6647" w:rsidP="00751E37">
            <w:pPr>
              <w:pStyle w:val="BodyTextGrey"/>
            </w:pPr>
            <w:r w:rsidRPr="009E6647">
              <w:t xml:space="preserve">Check that DfE guarantee continues, after regular scheduled DfE review </w:t>
            </w:r>
          </w:p>
        </w:tc>
      </w:tr>
      <w:tr w:rsidR="009E6647" w:rsidRPr="009E6647" w14:paraId="37D1CC42" w14:textId="77777777" w:rsidTr="00751E37">
        <w:tc>
          <w:tcPr>
            <w:tcW w:w="1398" w:type="pct"/>
            <w:tcBorders>
              <w:top w:val="single" w:sz="8" w:space="0" w:color="455560" w:themeColor="accent5"/>
              <w:left w:val="nil"/>
              <w:bottom w:val="single" w:sz="8" w:space="0" w:color="455560" w:themeColor="accent5"/>
              <w:right w:val="nil"/>
            </w:tcBorders>
          </w:tcPr>
          <w:p w14:paraId="095E5F9D" w14:textId="32CF10A7" w:rsidR="009E6647" w:rsidRPr="009E6647" w:rsidRDefault="009E6647" w:rsidP="00751E37">
            <w:pPr>
              <w:pStyle w:val="BodyTextGrey"/>
            </w:pPr>
            <w:r w:rsidRPr="009E6647">
              <w:t xml:space="preserve">Admission bodies </w:t>
            </w:r>
            <w:r w:rsidR="006B4CC3">
              <w:t>and designating employers</w:t>
            </w:r>
          </w:p>
        </w:tc>
        <w:tc>
          <w:tcPr>
            <w:tcW w:w="1801" w:type="pct"/>
            <w:tcBorders>
              <w:top w:val="single" w:sz="8" w:space="0" w:color="455560" w:themeColor="accent5"/>
              <w:left w:val="nil"/>
              <w:bottom w:val="single" w:sz="8" w:space="0" w:color="455560" w:themeColor="accent5"/>
              <w:right w:val="nil"/>
            </w:tcBorders>
          </w:tcPr>
          <w:p w14:paraId="4D3C7BE7" w14:textId="4CBEB66D" w:rsidR="009E6647" w:rsidRDefault="00122CA2" w:rsidP="00597E81">
            <w:pPr>
              <w:pStyle w:val="BodyTextGrey"/>
            </w:pPr>
            <w:r>
              <w:t xml:space="preserve">On admission </w:t>
            </w:r>
            <w:r w:rsidR="00994ED7">
              <w:t xml:space="preserve">of contractors, </w:t>
            </w:r>
            <w:r>
              <w:t xml:space="preserve">Fund considers letting authority covenant, contract length and potential capital costs risk. </w:t>
            </w:r>
          </w:p>
          <w:p w14:paraId="0486B7AC" w14:textId="2E5B0AE5" w:rsidR="00F350D7" w:rsidRPr="009E6647" w:rsidRDefault="001E3FDF" w:rsidP="00597E81">
            <w:pPr>
              <w:pStyle w:val="BodyTextGrey"/>
              <w:rPr>
                <w:highlight w:val="yellow"/>
              </w:rPr>
            </w:pPr>
            <w:r>
              <w:t xml:space="preserve">Consider </w:t>
            </w:r>
            <w:r w:rsidR="00B80965">
              <w:t xml:space="preserve">any security on offer, including </w:t>
            </w:r>
            <w:r w:rsidR="00305245">
              <w:t xml:space="preserve">the </w:t>
            </w:r>
            <w:r w:rsidR="00F350D7" w:rsidRPr="00F350D7">
              <w:t xml:space="preserve">effective guarantee provided by </w:t>
            </w:r>
            <w:r w:rsidR="00305245">
              <w:t>any</w:t>
            </w:r>
            <w:r w:rsidR="00F350D7" w:rsidRPr="00F350D7">
              <w:t xml:space="preserve"> Awarding Authority</w:t>
            </w:r>
            <w:r>
              <w:t>.</w:t>
            </w:r>
          </w:p>
        </w:tc>
        <w:tc>
          <w:tcPr>
            <w:tcW w:w="1801" w:type="pct"/>
            <w:tcBorders>
              <w:top w:val="single" w:sz="8" w:space="0" w:color="455560" w:themeColor="accent5"/>
              <w:left w:val="nil"/>
              <w:bottom w:val="single" w:sz="8" w:space="0" w:color="455560" w:themeColor="accent5"/>
              <w:right w:val="nil"/>
            </w:tcBorders>
          </w:tcPr>
          <w:p w14:paraId="3F40E659" w14:textId="4B6952AE" w:rsidR="009E6647" w:rsidRPr="009E6647" w:rsidRDefault="008B3413" w:rsidP="00751E37">
            <w:pPr>
              <w:pStyle w:val="BodyTextGrey"/>
              <w:rPr>
                <w:highlight w:val="yellow"/>
              </w:rPr>
            </w:pPr>
            <w:r w:rsidRPr="008B3413">
              <w:t>Regular monitoring (at triennial valuation, or more regularly where necessary)</w:t>
            </w:r>
          </w:p>
        </w:tc>
      </w:tr>
    </w:tbl>
    <w:p w14:paraId="273B409A" w14:textId="77777777" w:rsidR="009E6647" w:rsidRDefault="009E6647" w:rsidP="009E6647">
      <w:pPr>
        <w:pStyle w:val="Heading4"/>
      </w:pPr>
    </w:p>
    <w:p w14:paraId="39D81481" w14:textId="7DE68EC9" w:rsidR="00750566" w:rsidRPr="00750566" w:rsidRDefault="00750566" w:rsidP="008D48B7">
      <w:pPr>
        <w:pStyle w:val="BodyTextGrey"/>
      </w:pPr>
      <w:r>
        <w:t xml:space="preserve">Any change in covenant </w:t>
      </w:r>
      <w:r w:rsidR="005345B9">
        <w:t xml:space="preserve">over the inter-valuation period </w:t>
      </w:r>
      <w:r>
        <w:t xml:space="preserve">may lead to </w:t>
      </w:r>
      <w:r w:rsidR="005345B9">
        <w:t>a contribution</w:t>
      </w:r>
      <w:r>
        <w:t xml:space="preserve"> </w:t>
      </w:r>
      <w:r w:rsidR="005345B9">
        <w:t xml:space="preserve">rate </w:t>
      </w:r>
      <w:r>
        <w:t xml:space="preserve">review </w:t>
      </w:r>
    </w:p>
    <w:p w14:paraId="49EB77BB" w14:textId="06F1C152" w:rsidR="009E6647" w:rsidRPr="009E6647" w:rsidRDefault="007C6BE1" w:rsidP="009E6647">
      <w:pPr>
        <w:pStyle w:val="Heading4"/>
      </w:pPr>
      <w:r>
        <w:t>D7</w:t>
      </w:r>
      <w:r w:rsidR="009E6647" w:rsidRPr="009E6647">
        <w:t xml:space="preserve"> Climate risk </w:t>
      </w:r>
    </w:p>
    <w:p w14:paraId="6B760146" w14:textId="77777777" w:rsidR="00F53E68" w:rsidRPr="000969B0" w:rsidRDefault="00F53E68" w:rsidP="00F53E68">
      <w:pPr>
        <w:pStyle w:val="BodyTextGrey"/>
        <w:rPr>
          <w:highlight w:val="yellow"/>
        </w:rPr>
      </w:pPr>
      <w:r w:rsidRPr="00D32DB7">
        <w:t>The Fund has considered climate-related risks when setting the funding strategy. To consider the resilience of the strategy the Fund has carried out in-depth asset liability modelling to stress test the funding and investment strategies against possible future climate scenarios.  The current strategies were proven to be resilient to climate transition risks within an appropriate level of prudence.  The Fund will continue to monitor the resilience of the funding strategy to climate risks at future valuations or when there has been a significant change in the risk posed to the Fund (</w:t>
      </w:r>
      <w:proofErr w:type="spellStart"/>
      <w:r w:rsidRPr="00D32DB7">
        <w:t>eg</w:t>
      </w:r>
      <w:proofErr w:type="spellEnd"/>
      <w:r w:rsidRPr="00D32DB7">
        <w:t xml:space="preserve"> global climate policy changes).</w:t>
      </w:r>
    </w:p>
    <w:p w14:paraId="5691A583" w14:textId="5BD76920" w:rsidR="00C92E6E" w:rsidRDefault="00C92E6E" w:rsidP="00C92E6E">
      <w:pPr>
        <w:pStyle w:val="BodyTextGrey"/>
      </w:pPr>
      <w:r w:rsidRPr="006E3F25">
        <w:t xml:space="preserve">The Fund has a Responsible Investment Policy </w:t>
      </w:r>
      <w:r w:rsidR="00A730F3" w:rsidRPr="006E3F25">
        <w:t xml:space="preserve">which is available on the Fund’s website </w:t>
      </w:r>
      <w:hyperlink r:id="rId23" w:history="1">
        <w:r w:rsidR="00A730F3" w:rsidRPr="006E3F25">
          <w:rPr>
            <w:rStyle w:val="Hyperlink"/>
          </w:rPr>
          <w:t>here</w:t>
        </w:r>
      </w:hyperlink>
      <w:r w:rsidR="00A730F3" w:rsidRPr="006E3F25">
        <w:t>.</w:t>
      </w:r>
    </w:p>
    <w:p w14:paraId="080AF59A" w14:textId="4FFC3224" w:rsidR="00206ECB" w:rsidRDefault="00206ECB" w:rsidP="00C92E6E">
      <w:pPr>
        <w:pStyle w:val="BodyTextGrey"/>
        <w:rPr>
          <w:b/>
          <w:bCs/>
        </w:rPr>
      </w:pPr>
      <w:r w:rsidRPr="00355AD5">
        <w:rPr>
          <w:b/>
          <w:bCs/>
        </w:rPr>
        <w:t>D8</w:t>
      </w:r>
      <w:r w:rsidR="00355AD5" w:rsidRPr="00355AD5">
        <w:rPr>
          <w:b/>
          <w:bCs/>
        </w:rPr>
        <w:t xml:space="preserve"> Gender Pension Gap reporting</w:t>
      </w:r>
    </w:p>
    <w:p w14:paraId="0D412BD2" w14:textId="7A42767B" w:rsidR="00355AD5" w:rsidRPr="00355AD5" w:rsidRDefault="00355AD5" w:rsidP="00355AD5">
      <w:pPr>
        <w:pStyle w:val="BodyTextGrey"/>
        <w:rPr>
          <w:iCs w:val="0"/>
        </w:rPr>
      </w:pPr>
      <w:r w:rsidRPr="00355AD5">
        <w:rPr>
          <w:iCs w:val="0"/>
        </w:rPr>
        <w:t>The government published its consultation “Local Government Pension Scheme in England and Wales: Access and Fairness” in May 2025. One of the proposals as part of this consultation was to include gender pension gap reporting in the 2025 valuation report. Regulation around reporting will be laid down in March 2026 and as such, the Fund has reported on the gender pension gap in the 2025 valuation report (appendix 9).</w:t>
      </w:r>
    </w:p>
    <w:p w14:paraId="183ACE84" w14:textId="77777777" w:rsidR="00355AD5" w:rsidRPr="00355AD5" w:rsidRDefault="00355AD5" w:rsidP="00355AD5">
      <w:pPr>
        <w:pStyle w:val="BodyTextGrey"/>
        <w:rPr>
          <w:iCs w:val="0"/>
        </w:rPr>
      </w:pPr>
      <w:r w:rsidRPr="00355AD5">
        <w:rPr>
          <w:iCs w:val="0"/>
        </w:rPr>
        <w:t>Reporting has been included for active members, pensioner members and by employer using the local government pension scheme funds account return (SF3) categorisation.</w:t>
      </w:r>
    </w:p>
    <w:p w14:paraId="73536122" w14:textId="77777777" w:rsidR="00355AD5" w:rsidRPr="00355AD5" w:rsidRDefault="00355AD5" w:rsidP="00C92E6E">
      <w:pPr>
        <w:pStyle w:val="BodyTextGrey"/>
        <w:rPr>
          <w:b/>
          <w:bCs/>
        </w:rPr>
      </w:pPr>
    </w:p>
    <w:p w14:paraId="3B8CE0F3" w14:textId="77777777" w:rsidR="00C92E6E" w:rsidRDefault="00C92E6E" w:rsidP="009E6647">
      <w:pPr>
        <w:pStyle w:val="BodyTextGrey"/>
        <w:rPr>
          <w:highlight w:val="cyan"/>
        </w:rPr>
      </w:pPr>
    </w:p>
    <w:p w14:paraId="5A7879A1" w14:textId="71E8E523" w:rsidR="00447771" w:rsidRPr="00AD1463" w:rsidRDefault="00447771" w:rsidP="008E6618">
      <w:pPr>
        <w:pStyle w:val="Appendix1"/>
        <w:pageBreakBefore/>
      </w:pPr>
      <w:bookmarkStart w:id="142" w:name="_Toc174969031"/>
      <w:r w:rsidRPr="00AD1463">
        <w:lastRenderedPageBreak/>
        <w:t xml:space="preserve">Appendix </w:t>
      </w:r>
      <w:r w:rsidR="0071436B">
        <w:t>E</w:t>
      </w:r>
      <w:r w:rsidRPr="00AD1463">
        <w:t xml:space="preserve"> – Actuarial assumptions</w:t>
      </w:r>
      <w:bookmarkEnd w:id="137"/>
      <w:bookmarkEnd w:id="142"/>
      <w:r w:rsidRPr="00AD1463">
        <w:t xml:space="preserve">  </w:t>
      </w:r>
    </w:p>
    <w:p w14:paraId="368AD247" w14:textId="0EAB5ADE" w:rsidR="008A5564" w:rsidRDefault="00563646" w:rsidP="00447771">
      <w:pPr>
        <w:pStyle w:val="BodyTextGrey"/>
      </w:pPr>
      <w:r>
        <w:t xml:space="preserve">The key outputs from </w:t>
      </w:r>
      <w:r w:rsidR="009F2E97">
        <w:t>a</w:t>
      </w:r>
      <w:r w:rsidR="009B6885">
        <w:t>n employer’s</w:t>
      </w:r>
      <w:r w:rsidR="005B6FE8">
        <w:t xml:space="preserve"> funding </w:t>
      </w:r>
      <w:r w:rsidR="009F2E97">
        <w:t>valuation</w:t>
      </w:r>
      <w:r w:rsidR="00EE6CB3">
        <w:t xml:space="preserve"> are </w:t>
      </w:r>
      <w:r w:rsidR="00103726">
        <w:t>its</w:t>
      </w:r>
      <w:r w:rsidR="00522345">
        <w:t xml:space="preserve"> contribution rate</w:t>
      </w:r>
      <w:r w:rsidR="00AB3D52">
        <w:t xml:space="preserve"> requirement</w:t>
      </w:r>
      <w:r w:rsidR="005C330D">
        <w:t xml:space="preserve"> (see Section 2 for further details) </w:t>
      </w:r>
      <w:r w:rsidR="00522345">
        <w:t>and</w:t>
      </w:r>
      <w:r w:rsidR="00AB3D52">
        <w:t xml:space="preserve"> </w:t>
      </w:r>
      <w:r w:rsidR="00103726">
        <w:t>its</w:t>
      </w:r>
      <w:r w:rsidR="00522345">
        <w:t xml:space="preserve"> funding level</w:t>
      </w:r>
      <w:r w:rsidR="009F2E97">
        <w:t xml:space="preserve"> </w:t>
      </w:r>
      <w:r w:rsidR="007A6A4D">
        <w:t xml:space="preserve">(see Section 4). </w:t>
      </w:r>
      <w:r w:rsidR="00CB43BB">
        <w:t xml:space="preserve">For both calculations the </w:t>
      </w:r>
      <w:r w:rsidR="00591F7D">
        <w:t>F</w:t>
      </w:r>
      <w:r w:rsidR="00CB43BB">
        <w:t>und</w:t>
      </w:r>
      <w:r w:rsidR="00AB3D52">
        <w:t xml:space="preserve"> actuary </w:t>
      </w:r>
      <w:r w:rsidR="00103726">
        <w:t>requires</w:t>
      </w:r>
      <w:r w:rsidR="00E71ECF">
        <w:t xml:space="preserve"> actuarial assumptions</w:t>
      </w:r>
      <w:r w:rsidR="00CB43BB">
        <w:t xml:space="preserve">. </w:t>
      </w:r>
    </w:p>
    <w:p w14:paraId="5CF9B4C9" w14:textId="3A15D3C3" w:rsidR="00E71ECF" w:rsidRDefault="00E71ECF" w:rsidP="00447771">
      <w:pPr>
        <w:pStyle w:val="BodyTextGrey"/>
      </w:pPr>
      <w:r>
        <w:t xml:space="preserve">The fund typically reviews </w:t>
      </w:r>
      <w:r w:rsidR="00103726">
        <w:t xml:space="preserve">and sets </w:t>
      </w:r>
      <w:r>
        <w:t xml:space="preserve">the </w:t>
      </w:r>
      <w:r w:rsidR="00F2049A">
        <w:t>actuarial</w:t>
      </w:r>
      <w:r>
        <w:t xml:space="preserve"> assumptions used for funding purposes a</w:t>
      </w:r>
      <w:r w:rsidR="00103726">
        <w:t>s</w:t>
      </w:r>
      <w:r>
        <w:t xml:space="preserve"> part of the triennial valuation</w:t>
      </w:r>
      <w:r w:rsidR="00103726">
        <w:t>.</w:t>
      </w:r>
      <w:r w:rsidR="00732476">
        <w:t xml:space="preserve"> </w:t>
      </w:r>
      <w:r w:rsidR="00103726">
        <w:t>Those assumptions</w:t>
      </w:r>
      <w:r w:rsidR="00962F26">
        <w:t xml:space="preserve"> </w:t>
      </w:r>
      <w:r w:rsidR="00732476">
        <w:t xml:space="preserve">are then used </w:t>
      </w:r>
      <w:r w:rsidR="00CC3032">
        <w:t>until the next triennial valuation</w:t>
      </w:r>
      <w:r w:rsidR="00962F26">
        <w:t xml:space="preserve"> (updated for current market conditions where appropriate).</w:t>
      </w:r>
    </w:p>
    <w:p w14:paraId="3ED88342" w14:textId="5EC9A088" w:rsidR="00CC3032" w:rsidRDefault="00CC3032" w:rsidP="00447771">
      <w:pPr>
        <w:pStyle w:val="BodyTextGrey"/>
      </w:pPr>
      <w:r>
        <w:t xml:space="preserve">The </w:t>
      </w:r>
      <w:r w:rsidR="00840DB0">
        <w:t>F</w:t>
      </w:r>
      <w:r>
        <w:t xml:space="preserve">und has reviewed the actuarial assumptions used for funding purposes as part of the 2025 valuation. These are </w:t>
      </w:r>
      <w:r w:rsidR="00404C13">
        <w:t xml:space="preserve">set out below. </w:t>
      </w:r>
      <w:r>
        <w:t xml:space="preserve"> </w:t>
      </w:r>
    </w:p>
    <w:p w14:paraId="37CB5DFD" w14:textId="78206FD9" w:rsidR="008A5564" w:rsidRDefault="00BC76DD" w:rsidP="008E6618">
      <w:pPr>
        <w:pStyle w:val="Appendix2"/>
      </w:pPr>
      <w:r>
        <w:t>E</w:t>
      </w:r>
      <w:r w:rsidR="008A5564">
        <w:t xml:space="preserve">1 What are </w:t>
      </w:r>
      <w:r w:rsidR="00563646">
        <w:t xml:space="preserve">actuarial </w:t>
      </w:r>
      <w:r w:rsidR="008A5564">
        <w:t xml:space="preserve">assumptions? </w:t>
      </w:r>
    </w:p>
    <w:p w14:paraId="5ADEF0D3" w14:textId="0F6FCDFF" w:rsidR="00447771" w:rsidRDefault="00E15C85" w:rsidP="00447771">
      <w:pPr>
        <w:pStyle w:val="BodyTextGrey"/>
      </w:pPr>
      <w:r>
        <w:t xml:space="preserve">Actuarial assumptions are required to value the </w:t>
      </w:r>
      <w:r w:rsidR="008F0762">
        <w:t>F</w:t>
      </w:r>
      <w:r>
        <w:t>und’s liabilities because:</w:t>
      </w:r>
    </w:p>
    <w:p w14:paraId="1B41D7D4" w14:textId="43DA3935" w:rsidR="00E15C85" w:rsidRDefault="00E15C85" w:rsidP="00E15C85">
      <w:pPr>
        <w:pStyle w:val="BodyTextGrey"/>
        <w:numPr>
          <w:ilvl w:val="0"/>
          <w:numId w:val="80"/>
        </w:numPr>
      </w:pPr>
      <w:r>
        <w:t>There is uncertainty regarding both the timing and amount of the future benefit payments</w:t>
      </w:r>
      <w:r w:rsidR="00922121">
        <w:t xml:space="preserve"> (the actual cost can’t be known until the final payment is made). </w:t>
      </w:r>
      <w:proofErr w:type="gramStart"/>
      <w:r w:rsidR="00922121">
        <w:t>Therefore</w:t>
      </w:r>
      <w:proofErr w:type="gramEnd"/>
      <w:r w:rsidR="00922121">
        <w:t xml:space="preserve"> to estimate the cost of benefits</w:t>
      </w:r>
      <w:r w:rsidR="00EF1F81">
        <w:t xml:space="preserve"> earned to date and in the future, assumptions need to be made about the timing and amount of these future benefit payments</w:t>
      </w:r>
    </w:p>
    <w:p w14:paraId="659AC088" w14:textId="7FFE6646" w:rsidR="00EF1F81" w:rsidRDefault="00EF1F81" w:rsidP="00E15C85">
      <w:pPr>
        <w:pStyle w:val="BodyTextGrey"/>
        <w:numPr>
          <w:ilvl w:val="0"/>
          <w:numId w:val="80"/>
        </w:numPr>
      </w:pPr>
      <w:r>
        <w:t xml:space="preserve">The assets allowed to an employer </w:t>
      </w:r>
      <w:r w:rsidR="00CF61DD">
        <w:t xml:space="preserve">today are a known figure. </w:t>
      </w:r>
      <w:r w:rsidR="00771562">
        <w:t>However</w:t>
      </w:r>
      <w:r w:rsidR="00CF61DD">
        <w:t xml:space="preserve">, the future investment </w:t>
      </w:r>
      <w:r w:rsidR="00771562">
        <w:t>return</w:t>
      </w:r>
      <w:r w:rsidR="00CF61DD">
        <w:t xml:space="preserve"> earned on those assets and future cashflows into the fund</w:t>
      </w:r>
      <w:r w:rsidR="00771562">
        <w:t xml:space="preserve"> are uncertain. An assumption is needed about what those future investment returns will be</w:t>
      </w:r>
    </w:p>
    <w:p w14:paraId="6229F70D" w14:textId="52B326EF" w:rsidR="001E048A" w:rsidRDefault="001E048A" w:rsidP="00447771">
      <w:pPr>
        <w:pStyle w:val="BodyTextGrey"/>
      </w:pPr>
      <w:r>
        <w:t xml:space="preserve">There are two types of actuarial assumptions that are needed to perform an actuarial valuation: </w:t>
      </w:r>
      <w:r w:rsidR="00B64A95" w:rsidRPr="00B64A95">
        <w:rPr>
          <w:b/>
          <w:bCs/>
        </w:rPr>
        <w:t>f</w:t>
      </w:r>
      <w:r w:rsidRPr="00B64A95">
        <w:rPr>
          <w:b/>
          <w:bCs/>
        </w:rPr>
        <w:t>inancial assumptions</w:t>
      </w:r>
      <w:r>
        <w:t xml:space="preserve"> determine the expected amount of future benefit payments and the expected investment return on the assets held to meet those benefits, whilst </w:t>
      </w:r>
      <w:r w:rsidRPr="00B64A95">
        <w:rPr>
          <w:b/>
          <w:bCs/>
        </w:rPr>
        <w:t>demographic assumptions</w:t>
      </w:r>
      <w:r w:rsidR="00B64A95">
        <w:t xml:space="preserve"> relate primarily to the expected timing of future benefit payments (i.e. when they are made and for how long).</w:t>
      </w:r>
    </w:p>
    <w:p w14:paraId="19E2A6B1" w14:textId="6AC36CF4" w:rsidR="00873552" w:rsidRDefault="00873552" w:rsidP="00447771">
      <w:pPr>
        <w:pStyle w:val="BodyTextGrey"/>
      </w:pPr>
      <w:r>
        <w:t xml:space="preserve">All actuarial assumptions are set as best estimates of future experience </w:t>
      </w:r>
      <w:proofErr w:type="gramStart"/>
      <w:r>
        <w:t>with the exception of</w:t>
      </w:r>
      <w:proofErr w:type="gramEnd"/>
      <w:r>
        <w:t xml:space="preserve"> the discount rate assumption which is deliberately prudent to meet the regulatory requirement for a ‘prudent’ valuation. </w:t>
      </w:r>
    </w:p>
    <w:p w14:paraId="67508486" w14:textId="65BE701D" w:rsidR="00015F91" w:rsidRDefault="00015F91" w:rsidP="00447771">
      <w:pPr>
        <w:pStyle w:val="BodyTextGrey"/>
      </w:pPr>
      <w:r>
        <w:t>Any change in the assumptions will affect the value that is placed on future benefit payments (‘liabilities’), but different assumptions don’t affect the actual benefits the fund will pay in future.</w:t>
      </w:r>
    </w:p>
    <w:p w14:paraId="1B5A22EE" w14:textId="64B38D70" w:rsidR="00FC12F3" w:rsidRPr="00FC12F3" w:rsidRDefault="008F4662" w:rsidP="00447771">
      <w:pPr>
        <w:pStyle w:val="BodyTextGrey"/>
        <w:rPr>
          <w:b/>
          <w:bCs/>
        </w:rPr>
      </w:pPr>
      <w:r>
        <w:rPr>
          <w:b/>
          <w:bCs/>
        </w:rPr>
        <w:t>E</w:t>
      </w:r>
      <w:r w:rsidR="00FC12F3" w:rsidRPr="00FC12F3">
        <w:rPr>
          <w:b/>
          <w:bCs/>
        </w:rPr>
        <w:t>2 What funding bases are operated by the Fund?</w:t>
      </w:r>
    </w:p>
    <w:p w14:paraId="5D0833F7" w14:textId="398BCF52" w:rsidR="00FC12F3" w:rsidRDefault="00FC12F3" w:rsidP="00447771">
      <w:pPr>
        <w:pStyle w:val="BodyTextGrey"/>
      </w:pPr>
      <w:r>
        <w:t xml:space="preserve">A </w:t>
      </w:r>
      <w:r w:rsidRPr="006D2576">
        <w:rPr>
          <w:i/>
          <w:iCs w:val="0"/>
        </w:rPr>
        <w:t>funding basis</w:t>
      </w:r>
      <w:r w:rsidRPr="006D2576">
        <w:t xml:space="preserve"> is </w:t>
      </w:r>
      <w:r w:rsidR="00305D37" w:rsidRPr="006D2576">
        <w:t>the set</w:t>
      </w:r>
      <w:r w:rsidR="00305D37">
        <w:t xml:space="preserve"> of actuarial assumptions used to value an employer’s (past and future service) liabilities</w:t>
      </w:r>
      <w:r w:rsidR="00F34946">
        <w:t xml:space="preserve">. </w:t>
      </w:r>
      <w:r w:rsidR="00D154CB">
        <w:t>The fund operates two funding bas</w:t>
      </w:r>
      <w:r w:rsidR="00E33EEC">
        <w:t>e</w:t>
      </w:r>
      <w:r w:rsidR="00D154CB">
        <w:t>s</w:t>
      </w:r>
      <w:r w:rsidR="00515A95">
        <w:t xml:space="preserve"> for funding valuations</w:t>
      </w:r>
      <w:r w:rsidR="00D154CB">
        <w:t xml:space="preserve">: the </w:t>
      </w:r>
      <w:r w:rsidR="00D154CB" w:rsidRPr="00D154CB">
        <w:rPr>
          <w:i/>
          <w:iCs w:val="0"/>
        </w:rPr>
        <w:t>ongoing participation basis</w:t>
      </w:r>
      <w:r w:rsidR="00D154CB">
        <w:t xml:space="preserve"> and the </w:t>
      </w:r>
      <w:proofErr w:type="gramStart"/>
      <w:r w:rsidR="00D154CB" w:rsidRPr="00D154CB">
        <w:rPr>
          <w:i/>
          <w:iCs w:val="0"/>
        </w:rPr>
        <w:t>low-risk</w:t>
      </w:r>
      <w:proofErr w:type="gramEnd"/>
      <w:r w:rsidR="00D154CB" w:rsidRPr="00D154CB">
        <w:rPr>
          <w:i/>
          <w:iCs w:val="0"/>
        </w:rPr>
        <w:t xml:space="preserve"> exit basis</w:t>
      </w:r>
      <w:r w:rsidR="00D154CB">
        <w:t xml:space="preserve">. </w:t>
      </w:r>
      <w:r w:rsidR="0006230B">
        <w:t>All</w:t>
      </w:r>
      <w:r w:rsidR="00D154CB">
        <w:t xml:space="preserve"> actuarial assumptions are the </w:t>
      </w:r>
      <w:r w:rsidR="0006230B">
        <w:t xml:space="preserve">same for both funding bases </w:t>
      </w:r>
      <w:proofErr w:type="gramStart"/>
      <w:r w:rsidR="0006230B">
        <w:t>with the exception of</w:t>
      </w:r>
      <w:proofErr w:type="gramEnd"/>
      <w:r w:rsidR="0006230B">
        <w:t xml:space="preserve"> the discount rate</w:t>
      </w:r>
      <w:r w:rsidR="00376619">
        <w:t xml:space="preserve"> – see further details below. </w:t>
      </w:r>
    </w:p>
    <w:p w14:paraId="283A27AA" w14:textId="3569747A" w:rsidR="00D322E7" w:rsidRDefault="008F4662" w:rsidP="00CA0915">
      <w:pPr>
        <w:pStyle w:val="Appendix2"/>
      </w:pPr>
      <w:r>
        <w:t>E3</w:t>
      </w:r>
      <w:r w:rsidR="001B27C7">
        <w:t xml:space="preserve"> What </w:t>
      </w:r>
      <w:r w:rsidR="004D7FDB">
        <w:t>financial assumptions are used</w:t>
      </w:r>
      <w:r w:rsidR="001F5697">
        <w:t xml:space="preserve"> by the fund</w:t>
      </w:r>
      <w:r w:rsidR="004D7FDB">
        <w:t>?</w:t>
      </w:r>
    </w:p>
    <w:p w14:paraId="238EF26B" w14:textId="0916DC9A" w:rsidR="00857462" w:rsidRDefault="0002520F" w:rsidP="00857462">
      <w:pPr>
        <w:pStyle w:val="Heading3"/>
        <w:rPr>
          <w:b w:val="0"/>
          <w:color w:val="455560" w:themeColor="accent5"/>
        </w:rPr>
      </w:pPr>
      <w:r w:rsidRPr="002308B8">
        <w:rPr>
          <w:color w:val="3FA6CC" w:themeColor="accent1"/>
        </w:rPr>
        <w:t>Discount rate</w:t>
      </w:r>
      <w:r w:rsidR="00857462">
        <w:br/>
      </w:r>
      <w:r w:rsidR="00857462" w:rsidRPr="000C3D7F">
        <w:rPr>
          <w:b w:val="0"/>
          <w:color w:val="455560" w:themeColor="accent5"/>
        </w:rPr>
        <w:t>The discount rate</w:t>
      </w:r>
      <w:r w:rsidR="000C3D7F" w:rsidRPr="000C3D7F">
        <w:rPr>
          <w:b w:val="0"/>
          <w:color w:val="455560" w:themeColor="accent5"/>
        </w:rPr>
        <w:t xml:space="preserve"> assumption</w:t>
      </w:r>
      <w:r w:rsidR="00857462" w:rsidRPr="000C3D7F">
        <w:rPr>
          <w:b w:val="0"/>
          <w:color w:val="455560" w:themeColor="accent5"/>
        </w:rPr>
        <w:t xml:space="preserve"> is the </w:t>
      </w:r>
      <w:r w:rsidR="00653714" w:rsidRPr="000C3D7F">
        <w:rPr>
          <w:b w:val="0"/>
          <w:color w:val="455560" w:themeColor="accent5"/>
        </w:rPr>
        <w:t xml:space="preserve">average annual </w:t>
      </w:r>
      <w:r w:rsidR="00FF6691" w:rsidRPr="000C3D7F">
        <w:rPr>
          <w:b w:val="0"/>
          <w:color w:val="455560" w:themeColor="accent5"/>
        </w:rPr>
        <w:t>rate</w:t>
      </w:r>
      <w:r w:rsidR="001A3172" w:rsidRPr="000C3D7F">
        <w:rPr>
          <w:b w:val="0"/>
          <w:color w:val="455560" w:themeColor="accent5"/>
        </w:rPr>
        <w:t xml:space="preserve"> of future</w:t>
      </w:r>
      <w:r w:rsidR="001A3172">
        <w:rPr>
          <w:b w:val="0"/>
          <w:color w:val="455560" w:themeColor="accent5"/>
        </w:rPr>
        <w:t xml:space="preserve"> investment return </w:t>
      </w:r>
      <w:r w:rsidR="00162A8A">
        <w:rPr>
          <w:b w:val="0"/>
          <w:color w:val="455560" w:themeColor="accent5"/>
        </w:rPr>
        <w:t>assumed to be ear</w:t>
      </w:r>
      <w:r w:rsidR="00FF6691">
        <w:rPr>
          <w:b w:val="0"/>
          <w:color w:val="455560" w:themeColor="accent5"/>
        </w:rPr>
        <w:t xml:space="preserve">ned on an employer’s assets </w:t>
      </w:r>
      <w:r w:rsidR="000B53D9">
        <w:rPr>
          <w:b w:val="0"/>
          <w:color w:val="455560" w:themeColor="accent5"/>
        </w:rPr>
        <w:t xml:space="preserve">from a given valuation date. </w:t>
      </w:r>
    </w:p>
    <w:p w14:paraId="69CF2035" w14:textId="2BEFB7C6" w:rsidR="000B53D9" w:rsidRDefault="00376730" w:rsidP="000B53D9">
      <w:pPr>
        <w:pStyle w:val="BodyTextGrey"/>
      </w:pPr>
      <w:r>
        <w:t xml:space="preserve">The fund uses a </w:t>
      </w:r>
      <w:r w:rsidR="007A019A">
        <w:t xml:space="preserve">risk-based approach to setting </w:t>
      </w:r>
      <w:r w:rsidR="00FB0E65">
        <w:t>the discount rate</w:t>
      </w:r>
      <w:r w:rsidR="00337F2F">
        <w:t xml:space="preserve"> which allows for prevailing market conditions</w:t>
      </w:r>
      <w:r w:rsidR="00DB233C">
        <w:t xml:space="preserve"> on the valuation date</w:t>
      </w:r>
      <w:r w:rsidR="00337F2F">
        <w:t xml:space="preserve"> (see ‘</w:t>
      </w:r>
      <w:r w:rsidR="00582AAF">
        <w:t xml:space="preserve">Further detail on the </w:t>
      </w:r>
      <w:r w:rsidR="001E222A">
        <w:t xml:space="preserve">calculation of </w:t>
      </w:r>
      <w:r w:rsidR="00582AAF">
        <w:t>financial assumptions’) and the</w:t>
      </w:r>
      <w:r w:rsidR="00D71B47">
        <w:t xml:space="preserve"> Fund</w:t>
      </w:r>
      <w:r w:rsidR="00582AAF">
        <w:t xml:space="preserve">’s investment strategy. </w:t>
      </w:r>
    </w:p>
    <w:p w14:paraId="0151337D" w14:textId="6564192E" w:rsidR="00784FCA" w:rsidRPr="00784FCA" w:rsidRDefault="00784FCA" w:rsidP="00784FCA">
      <w:pPr>
        <w:pStyle w:val="BodyTextGrey"/>
      </w:pPr>
      <w:r>
        <w:lastRenderedPageBreak/>
        <w:t>T</w:t>
      </w:r>
      <w:r w:rsidRPr="00784FCA">
        <w:t xml:space="preserve">he discount rate is determined by the </w:t>
      </w:r>
      <w:r w:rsidRPr="00784FCA">
        <w:rPr>
          <w:i/>
          <w:iCs w:val="0"/>
        </w:rPr>
        <w:t>prudence level</w:t>
      </w:r>
      <w:r w:rsidRPr="00784FCA">
        <w:t>. Specificall</w:t>
      </w:r>
      <w:r w:rsidR="0039044A" w:rsidRPr="00E01971">
        <w:t>y</w:t>
      </w:r>
      <w:r w:rsidR="0039044A">
        <w:t xml:space="preserve">, </w:t>
      </w:r>
      <w:r w:rsidR="0068738D">
        <w:t>the discount rate is calculated to be:</w:t>
      </w:r>
    </w:p>
    <w:p w14:paraId="2331009A" w14:textId="63CD0F01" w:rsidR="00784FCA" w:rsidRPr="00784FCA" w:rsidRDefault="00784FCA" w:rsidP="00784FCA">
      <w:pPr>
        <w:pStyle w:val="BodyTextGrey"/>
        <w:rPr>
          <w:i/>
        </w:rPr>
      </w:pPr>
      <w:r w:rsidRPr="00784FCA">
        <w:rPr>
          <w:i/>
        </w:rPr>
        <w:t xml:space="preserve">The </w:t>
      </w:r>
      <w:r w:rsidR="005025F5">
        <w:rPr>
          <w:i/>
        </w:rPr>
        <w:t xml:space="preserve">average annual </w:t>
      </w:r>
      <w:r w:rsidRPr="00784FCA">
        <w:rPr>
          <w:i/>
        </w:rPr>
        <w:t>level of future investment return that can be achieved on the</w:t>
      </w:r>
      <w:r w:rsidR="0068738D" w:rsidRPr="00CE767F">
        <w:rPr>
          <w:i/>
        </w:rPr>
        <w:t xml:space="preserve"> </w:t>
      </w:r>
      <w:r w:rsidR="00F27940" w:rsidRPr="00CE767F">
        <w:rPr>
          <w:i/>
        </w:rPr>
        <w:t>Fund</w:t>
      </w:r>
      <w:r w:rsidRPr="00784FCA">
        <w:rPr>
          <w:i/>
        </w:rPr>
        <w:t xml:space="preserve">’s assets </w:t>
      </w:r>
      <w:r w:rsidR="00906CA3">
        <w:rPr>
          <w:i/>
        </w:rPr>
        <w:t xml:space="preserve">over a </w:t>
      </w:r>
      <w:proofErr w:type="gramStart"/>
      <w:r w:rsidR="00906CA3">
        <w:rPr>
          <w:i/>
        </w:rPr>
        <w:t>20 year</w:t>
      </w:r>
      <w:proofErr w:type="gramEnd"/>
      <w:r w:rsidR="00906CA3">
        <w:rPr>
          <w:i/>
        </w:rPr>
        <w:t xml:space="preserve"> period </w:t>
      </w:r>
      <w:r w:rsidRPr="00784FCA">
        <w:rPr>
          <w:i/>
        </w:rPr>
        <w:t xml:space="preserve">with </w:t>
      </w:r>
      <w:proofErr w:type="gramStart"/>
      <w:r w:rsidRPr="00784FCA">
        <w:rPr>
          <w:i/>
        </w:rPr>
        <w:t>a</w:t>
      </w:r>
      <w:proofErr w:type="gramEnd"/>
      <w:r w:rsidRPr="00784FCA">
        <w:rPr>
          <w:i/>
        </w:rPr>
        <w:t xml:space="preserve"> </w:t>
      </w:r>
      <w:r w:rsidR="005405EC">
        <w:rPr>
          <w:i/>
        </w:rPr>
        <w:t>80</w:t>
      </w:r>
      <w:r w:rsidRPr="00784FCA">
        <w:rPr>
          <w:i/>
        </w:rPr>
        <w:t xml:space="preserve">% likelihood. </w:t>
      </w:r>
    </w:p>
    <w:p w14:paraId="03C37384" w14:textId="403E4C2B" w:rsidR="00EC4164" w:rsidRDefault="00784FCA" w:rsidP="00784FCA">
      <w:pPr>
        <w:pStyle w:val="BodyTextGrey"/>
      </w:pPr>
      <w:r w:rsidRPr="00784FCA">
        <w:t xml:space="preserve">The prudence level is the likelihood. </w:t>
      </w:r>
      <w:r w:rsidR="0014066A">
        <w:t xml:space="preserve">The </w:t>
      </w:r>
      <w:r w:rsidR="00EC4164">
        <w:t>prudence levels used by the fund are as follows:</w:t>
      </w:r>
    </w:p>
    <w:tbl>
      <w:tblPr>
        <w:tblStyle w:val="TableGrid"/>
        <w:tblW w:w="0" w:type="auto"/>
        <w:tblLook w:val="04A0" w:firstRow="1" w:lastRow="0" w:firstColumn="1" w:lastColumn="0" w:noHBand="0" w:noVBand="1"/>
      </w:tblPr>
      <w:tblGrid>
        <w:gridCol w:w="4955"/>
        <w:gridCol w:w="4956"/>
      </w:tblGrid>
      <w:tr w:rsidR="00973F9A" w14:paraId="78CB7CE9" w14:textId="77777777" w:rsidTr="00973F9A">
        <w:tc>
          <w:tcPr>
            <w:tcW w:w="4955" w:type="dxa"/>
          </w:tcPr>
          <w:p w14:paraId="6C13E54C" w14:textId="0958AF82" w:rsidR="00973F9A" w:rsidRPr="00E440D3" w:rsidRDefault="00973F9A" w:rsidP="00784FCA">
            <w:pPr>
              <w:pStyle w:val="BodyTextGrey"/>
              <w:rPr>
                <w:b/>
                <w:bCs/>
              </w:rPr>
            </w:pPr>
            <w:r w:rsidRPr="00E440D3">
              <w:rPr>
                <w:b/>
                <w:bCs/>
              </w:rPr>
              <w:t>Funding basis</w:t>
            </w:r>
          </w:p>
        </w:tc>
        <w:tc>
          <w:tcPr>
            <w:tcW w:w="4956" w:type="dxa"/>
          </w:tcPr>
          <w:p w14:paraId="5250975C" w14:textId="4DF7FFD8" w:rsidR="00973F9A" w:rsidRPr="00E440D3" w:rsidRDefault="00973F9A" w:rsidP="00784FCA">
            <w:pPr>
              <w:pStyle w:val="BodyTextGrey"/>
              <w:rPr>
                <w:b/>
                <w:bCs/>
              </w:rPr>
            </w:pPr>
            <w:r w:rsidRPr="00E440D3">
              <w:rPr>
                <w:b/>
                <w:bCs/>
              </w:rPr>
              <w:t>Prudence level</w:t>
            </w:r>
          </w:p>
        </w:tc>
      </w:tr>
      <w:tr w:rsidR="00973F9A" w14:paraId="26A66743" w14:textId="77777777" w:rsidTr="00973F9A">
        <w:tc>
          <w:tcPr>
            <w:tcW w:w="4955" w:type="dxa"/>
          </w:tcPr>
          <w:p w14:paraId="3183E457" w14:textId="4C1BD900" w:rsidR="00973F9A" w:rsidRDefault="00973F9A" w:rsidP="00784FCA">
            <w:pPr>
              <w:pStyle w:val="BodyTextGrey"/>
            </w:pPr>
            <w:r>
              <w:t>Ongoing participation</w:t>
            </w:r>
          </w:p>
        </w:tc>
        <w:tc>
          <w:tcPr>
            <w:tcW w:w="4956" w:type="dxa"/>
          </w:tcPr>
          <w:p w14:paraId="2BDBB473" w14:textId="59531872" w:rsidR="00973F9A" w:rsidRDefault="005405EC" w:rsidP="00784FCA">
            <w:pPr>
              <w:pStyle w:val="BodyTextGrey"/>
            </w:pPr>
            <w:r>
              <w:t>80</w:t>
            </w:r>
            <w:r w:rsidR="00973F9A">
              <w:t>%</w:t>
            </w:r>
          </w:p>
        </w:tc>
      </w:tr>
      <w:tr w:rsidR="00973F9A" w:rsidRPr="002C0D40" w14:paraId="23A24A03" w14:textId="77777777" w:rsidTr="00973F9A">
        <w:tc>
          <w:tcPr>
            <w:tcW w:w="4955" w:type="dxa"/>
          </w:tcPr>
          <w:p w14:paraId="58D433C1" w14:textId="759E0B9D" w:rsidR="00973F9A" w:rsidRPr="002C0D40" w:rsidRDefault="00973F9A" w:rsidP="00784FCA">
            <w:pPr>
              <w:pStyle w:val="BodyTextGrey"/>
            </w:pPr>
            <w:r w:rsidRPr="002C0D40">
              <w:t>Low-risk exit</w:t>
            </w:r>
          </w:p>
        </w:tc>
        <w:tc>
          <w:tcPr>
            <w:tcW w:w="4956" w:type="dxa"/>
          </w:tcPr>
          <w:p w14:paraId="5FD258B7" w14:textId="7A56A690" w:rsidR="004D61D8" w:rsidRPr="002C0D40" w:rsidRDefault="00D216B3" w:rsidP="00784FCA">
            <w:pPr>
              <w:pStyle w:val="BodyTextGrey"/>
            </w:pPr>
            <w:r w:rsidRPr="002C0D40">
              <w:t>90</w:t>
            </w:r>
            <w:r w:rsidR="00973F9A" w:rsidRPr="002C0D40">
              <w:t xml:space="preserve">% (lower bound of corridor) </w:t>
            </w:r>
            <w:r w:rsidR="00973F9A" w:rsidRPr="002C0D40">
              <w:br/>
              <w:t>95% (upper bound of corridor)</w:t>
            </w:r>
          </w:p>
        </w:tc>
      </w:tr>
    </w:tbl>
    <w:p w14:paraId="2E09F353" w14:textId="7E82A892" w:rsidR="002E4BE8" w:rsidRPr="002C0D40" w:rsidRDefault="002E4BE8" w:rsidP="002E4BE8">
      <w:pPr>
        <w:pStyle w:val="BodyTextGrey"/>
      </w:pPr>
    </w:p>
    <w:p w14:paraId="6F340849" w14:textId="2DE4B51D" w:rsidR="002E4BE8" w:rsidRPr="002C0D40" w:rsidRDefault="002E4BE8" w:rsidP="002E4BE8">
      <w:pPr>
        <w:pStyle w:val="BodyTextGrey"/>
      </w:pPr>
      <w:r w:rsidRPr="002C0D40">
        <w:t xml:space="preserve">*Where an </w:t>
      </w:r>
      <w:proofErr w:type="spellStart"/>
      <w:r w:rsidRPr="002C0D40">
        <w:t>exiting</w:t>
      </w:r>
      <w:proofErr w:type="spellEnd"/>
      <w:r w:rsidRPr="002C0D40">
        <w:t xml:space="preserve"> employer ceases on the low-risk basis, the liabilities will be calculated on both the lower and upper limits to determine whether any deficit or surplus exists. Any deficit to be payable by the employer is determined using a discount rate calculated on the lower limit.  If a surplus exists using a discount rate calculated on the upper limit, then the Fund will carry out an exit credit determination</w:t>
      </w:r>
      <w:r w:rsidR="00461C3E">
        <w:t>.</w:t>
      </w:r>
    </w:p>
    <w:p w14:paraId="315454C6" w14:textId="585B036D" w:rsidR="00E34D1F" w:rsidRDefault="00E34D1F" w:rsidP="002E4BE8">
      <w:pPr>
        <w:pStyle w:val="BodyTextGrey"/>
        <w:rPr>
          <w:b/>
        </w:rPr>
      </w:pPr>
      <w:r w:rsidRPr="002308B8">
        <w:rPr>
          <w:color w:val="3FA6CC" w:themeColor="accent1"/>
        </w:rPr>
        <w:t>CPI inflation</w:t>
      </w:r>
      <w:r>
        <w:br/>
      </w:r>
      <w:r w:rsidR="000C3D7F" w:rsidRPr="000C3D7F">
        <w:t xml:space="preserve">The </w:t>
      </w:r>
      <w:r w:rsidR="000C3D7F">
        <w:t>CPI inflation</w:t>
      </w:r>
      <w:r w:rsidR="000C3D7F" w:rsidRPr="000C3D7F">
        <w:t xml:space="preserve"> assumption is the average annual rate of future</w:t>
      </w:r>
      <w:r w:rsidR="000C3D7F">
        <w:t xml:space="preserve"> </w:t>
      </w:r>
      <w:r w:rsidR="00210C4C" w:rsidRPr="00E34D1F">
        <w:t>Consumer Price Index (CPI)</w:t>
      </w:r>
      <w:r w:rsidR="000C3D7F">
        <w:t xml:space="preserve"> inflation </w:t>
      </w:r>
      <w:r w:rsidR="00F77250">
        <w:t xml:space="preserve">assumed to be observed </w:t>
      </w:r>
      <w:r w:rsidR="000C3D7F">
        <w:t xml:space="preserve">from a given valuation date. </w:t>
      </w:r>
      <w:r w:rsidR="00EA7932">
        <w:t>This assumption is required because LGPS b</w:t>
      </w:r>
      <w:r w:rsidRPr="00E34D1F">
        <w:t>enefit increases (in deferment and in payment) and revaluation of CARE benefits are in line with CPI</w:t>
      </w:r>
      <w:r w:rsidR="00EA7932">
        <w:t xml:space="preserve">. </w:t>
      </w:r>
    </w:p>
    <w:p w14:paraId="71F59DBB" w14:textId="4F3E7458" w:rsidR="000D7A17" w:rsidRPr="000D7A17" w:rsidRDefault="000D7A17" w:rsidP="000D7A17">
      <w:pPr>
        <w:pStyle w:val="BodyTextGrey"/>
      </w:pPr>
      <w:r>
        <w:t xml:space="preserve">The </w:t>
      </w:r>
      <w:r w:rsidR="00E027DE">
        <w:t>F</w:t>
      </w:r>
      <w:r>
        <w:t>und uses a risk-based approach to setting the CPI inflation assumption which allows for prevailing market conditions on the valuation date (see ‘Further detail on the calculation of financial assumptions’).</w:t>
      </w:r>
    </w:p>
    <w:p w14:paraId="557C327B" w14:textId="085D6C48" w:rsidR="00F77250" w:rsidRDefault="00F77250" w:rsidP="00F77250">
      <w:pPr>
        <w:pStyle w:val="BodyTextGrey"/>
      </w:pPr>
      <w:r>
        <w:t>The CPI inflation assumption is calculated</w:t>
      </w:r>
      <w:r w:rsidR="00D02A3E">
        <w:t xml:space="preserve"> to be:</w:t>
      </w:r>
    </w:p>
    <w:p w14:paraId="701699DA" w14:textId="758DD274" w:rsidR="00591F12" w:rsidRPr="00591F12" w:rsidRDefault="00A62399" w:rsidP="00591F12">
      <w:pPr>
        <w:pStyle w:val="BodyTextGrey"/>
        <w:rPr>
          <w:i/>
          <w:iCs w:val="0"/>
        </w:rPr>
      </w:pPr>
      <w:r w:rsidRPr="00A62399">
        <w:rPr>
          <w:i/>
          <w:iCs w:val="0"/>
        </w:rPr>
        <w:t xml:space="preserve">The average annual level of future CPI inflation that will be observed over a </w:t>
      </w:r>
      <w:proofErr w:type="gramStart"/>
      <w:r w:rsidRPr="00A62399">
        <w:rPr>
          <w:i/>
          <w:iCs w:val="0"/>
        </w:rPr>
        <w:t>20 year</w:t>
      </w:r>
      <w:proofErr w:type="gramEnd"/>
      <w:r w:rsidRPr="00A62399">
        <w:rPr>
          <w:i/>
          <w:iCs w:val="0"/>
        </w:rPr>
        <w:t xml:space="preserve"> period with a 50% likelihood</w:t>
      </w:r>
    </w:p>
    <w:p w14:paraId="2B1CF40E" w14:textId="20964184" w:rsidR="00E34D1F" w:rsidRPr="00365AC7" w:rsidRDefault="00E34D1F" w:rsidP="00365AC7">
      <w:pPr>
        <w:pStyle w:val="Appendix3"/>
        <w:rPr>
          <w:b w:val="0"/>
          <w:color w:val="455560" w:themeColor="accent5"/>
        </w:rPr>
      </w:pPr>
      <w:r w:rsidRPr="002308B8">
        <w:rPr>
          <w:color w:val="3FA6CC" w:themeColor="accent1"/>
        </w:rPr>
        <w:t>Salary growth</w:t>
      </w:r>
      <w:r w:rsidR="00591F12">
        <w:br/>
      </w:r>
      <w:r w:rsidR="00591F12" w:rsidRPr="00591F12">
        <w:rPr>
          <w:b w:val="0"/>
          <w:color w:val="455560" w:themeColor="accent5"/>
        </w:rPr>
        <w:t>The salary growth assumption</w:t>
      </w:r>
      <w:r w:rsidR="00911A99">
        <w:rPr>
          <w:b w:val="0"/>
          <w:color w:val="455560" w:themeColor="accent5"/>
        </w:rPr>
        <w:t xml:space="preserve"> is linked to the CPI inflation assumption via a fixed margin. </w:t>
      </w:r>
      <w:r w:rsidR="003D4FA5">
        <w:rPr>
          <w:b w:val="0"/>
          <w:color w:val="455560" w:themeColor="accent5"/>
        </w:rPr>
        <w:t xml:space="preserve">The salary increases assumption is </w:t>
      </w:r>
      <w:r w:rsidR="005405EC">
        <w:rPr>
          <w:b w:val="0"/>
          <w:color w:val="455560" w:themeColor="accent5"/>
        </w:rPr>
        <w:t>1</w:t>
      </w:r>
      <w:r w:rsidR="00365AC7">
        <w:rPr>
          <w:b w:val="0"/>
          <w:color w:val="455560" w:themeColor="accent5"/>
        </w:rPr>
        <w:t xml:space="preserve">.5% </w:t>
      </w:r>
      <w:r w:rsidR="005405EC">
        <w:rPr>
          <w:b w:val="0"/>
          <w:color w:val="455560" w:themeColor="accent5"/>
        </w:rPr>
        <w:t xml:space="preserve">pa </w:t>
      </w:r>
      <w:r w:rsidR="00365AC7">
        <w:rPr>
          <w:b w:val="0"/>
          <w:color w:val="455560" w:themeColor="accent5"/>
        </w:rPr>
        <w:t xml:space="preserve">above the CPI inflation assumption plus a promotional salary scale. </w:t>
      </w:r>
    </w:p>
    <w:p w14:paraId="7A1EA944" w14:textId="6B0DF750" w:rsidR="00620904" w:rsidRDefault="008F4662" w:rsidP="00E74347">
      <w:pPr>
        <w:pStyle w:val="BodyTextGrey"/>
      </w:pPr>
      <w:r>
        <w:rPr>
          <w:b/>
          <w:bCs/>
        </w:rPr>
        <w:t>E4</w:t>
      </w:r>
      <w:r w:rsidR="00D322E7" w:rsidRPr="00CA0915">
        <w:rPr>
          <w:b/>
          <w:bCs/>
        </w:rPr>
        <w:t xml:space="preserve"> </w:t>
      </w:r>
      <w:r w:rsidR="00CA0915" w:rsidRPr="00CA0915">
        <w:rPr>
          <w:b/>
          <w:bCs/>
        </w:rPr>
        <w:t>Further detail on the calculation of financial assumptions</w:t>
      </w:r>
      <w:r w:rsidR="00365AC7">
        <w:rPr>
          <w:b/>
          <w:bCs/>
        </w:rPr>
        <w:br/>
      </w:r>
      <w:r w:rsidR="00365AC7" w:rsidRPr="006D371F">
        <w:t xml:space="preserve">The </w:t>
      </w:r>
      <w:r w:rsidR="006D371F" w:rsidRPr="004F5C25">
        <w:t>(ongoing participation basis)</w:t>
      </w:r>
      <w:r w:rsidR="006D371F">
        <w:t xml:space="preserve"> </w:t>
      </w:r>
      <w:r w:rsidR="00365AC7" w:rsidRPr="006D371F">
        <w:t xml:space="preserve">discount rate and CPI inflation assumptions are calculated using </w:t>
      </w:r>
      <w:r w:rsidR="00BE79F3" w:rsidRPr="006D371F">
        <w:t xml:space="preserve">a </w:t>
      </w:r>
      <w:r w:rsidR="00365AC7" w:rsidRPr="006D371F">
        <w:t xml:space="preserve">risk-based method. </w:t>
      </w:r>
      <w:r w:rsidR="009C7240" w:rsidRPr="006D371F">
        <w:t xml:space="preserve">To assess the likelihood associated with a given </w:t>
      </w:r>
      <w:r w:rsidR="00C9523C" w:rsidRPr="006D371F">
        <w:t>level of investment return</w:t>
      </w:r>
      <w:r w:rsidR="00EB3E33" w:rsidRPr="006D371F">
        <w:t xml:space="preserve"> or a given level of future inflation, the fund actuary uses Hymans Robertson’s propriety economic </w:t>
      </w:r>
      <w:r w:rsidR="003F2CB2">
        <w:t>scenario generator</w:t>
      </w:r>
      <w:r w:rsidR="00EB3E33" w:rsidRPr="006D371F">
        <w:t xml:space="preserve">; the </w:t>
      </w:r>
      <w:r w:rsidR="00EB3E33" w:rsidRPr="006D371F">
        <w:rPr>
          <w:i/>
          <w:iCs w:val="0"/>
        </w:rPr>
        <w:t>Economic Scenario Service</w:t>
      </w:r>
      <w:r w:rsidR="00EB3E33" w:rsidRPr="006D371F">
        <w:t xml:space="preserve"> (or </w:t>
      </w:r>
      <w:r w:rsidR="00EB3E33" w:rsidRPr="006D371F">
        <w:rPr>
          <w:i/>
          <w:iCs w:val="0"/>
        </w:rPr>
        <w:t>ESS</w:t>
      </w:r>
      <w:r w:rsidR="00EB3E33" w:rsidRPr="006D371F">
        <w:t>).</w:t>
      </w:r>
      <w:r w:rsidR="00EB3E33">
        <w:t xml:space="preserve"> </w:t>
      </w:r>
      <w:r w:rsidR="00E11E79">
        <w:t xml:space="preserve"> </w:t>
      </w:r>
      <w:r w:rsidR="008757CC" w:rsidRPr="002B7823">
        <w:t xml:space="preserve">The model uses statistical distributions to project a range of 5,000 different possible outcomes for the future behaviour of </w:t>
      </w:r>
      <w:r w:rsidR="008757CC">
        <w:t>different asset classes and wider economic variables, such as inflation.</w:t>
      </w:r>
      <w:r w:rsidR="00431340">
        <w:t xml:space="preserve"> </w:t>
      </w:r>
    </w:p>
    <w:p w14:paraId="19F60952" w14:textId="1FF1C459" w:rsidR="003D27A0" w:rsidRPr="005559B9" w:rsidRDefault="003D27A0" w:rsidP="003D27A0">
      <w:pPr>
        <w:rPr>
          <w:color w:val="455560" w:themeColor="accent5"/>
          <w:lang w:eastAsia="en-US"/>
        </w:rPr>
      </w:pPr>
      <w:r w:rsidRPr="005559B9">
        <w:rPr>
          <w:color w:val="455560" w:themeColor="accent5"/>
          <w:lang w:eastAsia="en-US"/>
        </w:rPr>
        <w:t xml:space="preserve">The table below shows the calibration of the model as </w:t>
      </w:r>
      <w:proofErr w:type="gramStart"/>
      <w:r w:rsidRPr="005559B9">
        <w:rPr>
          <w:color w:val="455560" w:themeColor="accent5"/>
          <w:lang w:eastAsia="en-US"/>
        </w:rPr>
        <w:t>at</w:t>
      </w:r>
      <w:proofErr w:type="gramEnd"/>
      <w:r w:rsidRPr="005559B9">
        <w:rPr>
          <w:color w:val="455560" w:themeColor="accent5"/>
          <w:lang w:eastAsia="en-US"/>
        </w:rPr>
        <w:t xml:space="preserve"> 31 March 202</w:t>
      </w:r>
      <w:r w:rsidR="00AB1447">
        <w:rPr>
          <w:color w:val="455560" w:themeColor="accent5"/>
          <w:lang w:eastAsia="en-US"/>
        </w:rPr>
        <w:t>5</w:t>
      </w:r>
      <w:r w:rsidRPr="005559B9">
        <w:rPr>
          <w:color w:val="455560" w:themeColor="accent5"/>
          <w:lang w:eastAsia="en-US"/>
        </w:rPr>
        <w:t xml:space="preserve"> for some sample asset classes and economic variables. All returns are shown net of fees and are the annualised total returns over 5, 10 and 20 years. Yields and inflation refer to the simulated yields at that time horizon.</w:t>
      </w:r>
    </w:p>
    <w:p w14:paraId="0ABBBD0E" w14:textId="32EE1619" w:rsidR="003D27A0" w:rsidRDefault="003D27A0" w:rsidP="003D27A0">
      <w:pPr>
        <w:pStyle w:val="BodyTextGrey"/>
        <w:rPr>
          <w:i/>
        </w:rPr>
      </w:pPr>
      <w:r w:rsidRPr="005405EC">
        <w:rPr>
          <w:noProof/>
        </w:rPr>
        <w:lastRenderedPageBreak/>
        <w:drawing>
          <wp:inline distT="0" distB="0" distL="0" distR="0" wp14:anchorId="66E1387E" wp14:editId="56986B83">
            <wp:extent cx="6317073" cy="1944414"/>
            <wp:effectExtent l="0" t="0" r="7620" b="0"/>
            <wp:docPr id="135457549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75495" name="Picture 4" descr="A screenshot of a computer&#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4455" cy="1955920"/>
                    </a:xfrm>
                    <a:prstGeom prst="rect">
                      <a:avLst/>
                    </a:prstGeom>
                    <a:noFill/>
                  </pic:spPr>
                </pic:pic>
              </a:graphicData>
            </a:graphic>
          </wp:inline>
        </w:drawing>
      </w:r>
      <w:r>
        <w:br/>
      </w:r>
    </w:p>
    <w:p w14:paraId="0D0723D2" w14:textId="4D1B9011" w:rsidR="00A373B2" w:rsidRDefault="00A373B2" w:rsidP="003D27A0">
      <w:pPr>
        <w:pStyle w:val="BodyTextGrey"/>
      </w:pPr>
      <w:r w:rsidRPr="001366BA">
        <w:t>The ESS model is recalibrated monthly</w:t>
      </w:r>
      <w:r w:rsidR="00A04C72" w:rsidRPr="001366BA">
        <w:t xml:space="preserve">. </w:t>
      </w:r>
      <w:r w:rsidR="0000308C">
        <w:t xml:space="preserve">The fund actuary </w:t>
      </w:r>
      <w:r w:rsidR="00B36F9C">
        <w:t xml:space="preserve">uses the most recent calibration of the model (prior to the valuation date) to set </w:t>
      </w:r>
      <w:r w:rsidR="005E3DCA">
        <w:t xml:space="preserve">financial </w:t>
      </w:r>
      <w:r w:rsidR="00B36F9C">
        <w:t>assumptions for each funding valuation.</w:t>
      </w:r>
      <w:r w:rsidR="00361BC1" w:rsidRPr="001366BA">
        <w:t xml:space="preserve"> </w:t>
      </w:r>
    </w:p>
    <w:p w14:paraId="0E54E30C" w14:textId="2A024377" w:rsidR="00447771" w:rsidRDefault="008F4662" w:rsidP="00447771">
      <w:pPr>
        <w:pStyle w:val="Heading2"/>
      </w:pPr>
      <w:bookmarkStart w:id="143" w:name="_Toc86162888"/>
      <w:r>
        <w:t>E5</w:t>
      </w:r>
      <w:r w:rsidR="00935E3F">
        <w:t xml:space="preserve"> What d</w:t>
      </w:r>
      <w:r w:rsidR="00447771">
        <w:t>emographic assumptions</w:t>
      </w:r>
      <w:bookmarkEnd w:id="143"/>
      <w:r w:rsidR="00935E3F">
        <w:t xml:space="preserve"> </w:t>
      </w:r>
      <w:r w:rsidR="0039229A">
        <w:t xml:space="preserve">are used by the </w:t>
      </w:r>
      <w:r w:rsidR="006D2D77">
        <w:t>F</w:t>
      </w:r>
      <w:r w:rsidR="0039229A">
        <w:t>und</w:t>
      </w:r>
      <w:r w:rsidR="00935E3F">
        <w:t xml:space="preserve">? </w:t>
      </w:r>
    </w:p>
    <w:p w14:paraId="6996FD0D" w14:textId="0AC5633F" w:rsidR="00447771" w:rsidRDefault="00447771" w:rsidP="00447771">
      <w:pPr>
        <w:pStyle w:val="BodyTextGrey"/>
      </w:pPr>
      <w:r>
        <w:t>The</w:t>
      </w:r>
      <w:r w:rsidR="006D2D77">
        <w:t xml:space="preserve"> F</w:t>
      </w:r>
      <w:r>
        <w:t xml:space="preserve">und </w:t>
      </w:r>
      <w:r w:rsidR="00952C70">
        <w:t>uses advice from Club Vit</w:t>
      </w:r>
      <w:r w:rsidR="00F33F3B">
        <w:t>a to set d</w:t>
      </w:r>
      <w:r>
        <w:t>emographic assumptions</w:t>
      </w:r>
      <w:r w:rsidR="00F33F3B">
        <w:t xml:space="preserve">, as well as </w:t>
      </w:r>
      <w:r>
        <w:t xml:space="preserve">analysis </w:t>
      </w:r>
      <w:r w:rsidR="00E56B92">
        <w:t xml:space="preserve">and judgement based on the </w:t>
      </w:r>
      <w:r w:rsidR="006D2D77">
        <w:t>F</w:t>
      </w:r>
      <w:r w:rsidR="00E56B92">
        <w:t xml:space="preserve">und’s </w:t>
      </w:r>
      <w:r>
        <w:t xml:space="preserve">experience. </w:t>
      </w:r>
      <w:r w:rsidRPr="000613F0">
        <w:t xml:space="preserve"> </w:t>
      </w:r>
    </w:p>
    <w:p w14:paraId="6076D6AE" w14:textId="567C605C" w:rsidR="00447771" w:rsidRPr="000613F0" w:rsidRDefault="00447771" w:rsidP="00447771">
      <w:pPr>
        <w:pStyle w:val="BodyTextGrey"/>
      </w:pPr>
      <w:r>
        <w:t>Demographic assumptions vary by type of member</w:t>
      </w:r>
      <w:r w:rsidR="002F3A29">
        <w:t xml:space="preserve">, so each employer’s </w:t>
      </w:r>
      <w:r w:rsidR="00172A40">
        <w:t xml:space="preserve">own </w:t>
      </w:r>
      <w:r w:rsidR="002F3A29">
        <w:t>m</w:t>
      </w:r>
      <w:r>
        <w:t xml:space="preserve">embership profile is reflected in </w:t>
      </w:r>
      <w:r w:rsidR="00B634E2">
        <w:t xml:space="preserve">the assumptions that apply to </w:t>
      </w:r>
      <w:r w:rsidR="00F64EDA">
        <w:t>them.</w:t>
      </w:r>
      <w:r w:rsidR="00B634E2">
        <w:t xml:space="preserve"> </w:t>
      </w:r>
      <w:r>
        <w:t xml:space="preserve"> </w:t>
      </w:r>
    </w:p>
    <w:p w14:paraId="63173E9C" w14:textId="517D1F55" w:rsidR="00447771" w:rsidRPr="0034365A" w:rsidRDefault="00447771" w:rsidP="002308B8">
      <w:pPr>
        <w:pStyle w:val="Appendix3"/>
        <w:rPr>
          <w:color w:val="3FA6CC" w:themeColor="accent1"/>
        </w:rPr>
      </w:pPr>
      <w:bookmarkStart w:id="144" w:name="_Toc86162889"/>
      <w:r w:rsidRPr="002308B8">
        <w:rPr>
          <w:color w:val="3FA6CC" w:themeColor="accent1"/>
        </w:rPr>
        <w:t>Life expectancy</w:t>
      </w:r>
      <w:bookmarkEnd w:id="144"/>
      <w:r w:rsidR="005B16D1" w:rsidRPr="002308B8">
        <w:rPr>
          <w:color w:val="3FA6CC" w:themeColor="accent1"/>
        </w:rPr>
        <w:t xml:space="preserve"> </w:t>
      </w:r>
      <w:r w:rsidR="002308B8">
        <w:rPr>
          <w:color w:val="3FA6CC" w:themeColor="accent1"/>
        </w:rPr>
        <w:br/>
      </w:r>
      <w:r w:rsidRPr="0034365A">
        <w:rPr>
          <w:b w:val="0"/>
          <w:color w:val="455560" w:themeColor="accent5"/>
        </w:rPr>
        <w:t xml:space="preserve">The longevity assumptions are a bespoke set of </w:t>
      </w:r>
      <w:proofErr w:type="spellStart"/>
      <w:r w:rsidRPr="0034365A">
        <w:rPr>
          <w:b w:val="0"/>
          <w:color w:val="455560" w:themeColor="accent5"/>
        </w:rPr>
        <w:t>VitaCurves</w:t>
      </w:r>
      <w:proofErr w:type="spellEnd"/>
      <w:r w:rsidRPr="0034365A">
        <w:rPr>
          <w:b w:val="0"/>
          <w:color w:val="455560" w:themeColor="accent5"/>
        </w:rPr>
        <w:t xml:space="preserve"> produced by detailed analysis</w:t>
      </w:r>
      <w:r w:rsidR="00575BDD" w:rsidRPr="0034365A">
        <w:rPr>
          <w:b w:val="0"/>
          <w:color w:val="455560" w:themeColor="accent5"/>
        </w:rPr>
        <w:t xml:space="preserve"> </w:t>
      </w:r>
      <w:r w:rsidRPr="0034365A">
        <w:rPr>
          <w:b w:val="0"/>
          <w:color w:val="455560" w:themeColor="accent5"/>
        </w:rPr>
        <w:t xml:space="preserve">and tailored to fit the </w:t>
      </w:r>
      <w:r w:rsidR="006D2D77" w:rsidRPr="0034365A">
        <w:rPr>
          <w:b w:val="0"/>
          <w:color w:val="455560" w:themeColor="accent5"/>
        </w:rPr>
        <w:t>F</w:t>
      </w:r>
      <w:r w:rsidRPr="0034365A">
        <w:rPr>
          <w:b w:val="0"/>
          <w:color w:val="455560" w:themeColor="accent5"/>
        </w:rPr>
        <w:t>und’s membership profile</w:t>
      </w:r>
      <w:r w:rsidR="002F3A29" w:rsidRPr="0034365A">
        <w:rPr>
          <w:b w:val="0"/>
          <w:color w:val="455560" w:themeColor="accent5"/>
        </w:rPr>
        <w:t>.</w:t>
      </w:r>
      <w:r w:rsidR="002F3A29" w:rsidRPr="0034365A">
        <w:t xml:space="preserve"> </w:t>
      </w:r>
      <w:r w:rsidRPr="0034365A">
        <w:t xml:space="preserve">  </w:t>
      </w:r>
    </w:p>
    <w:p w14:paraId="06CD8A3D" w14:textId="70603862" w:rsidR="0064517A" w:rsidRDefault="00447771" w:rsidP="00447771">
      <w:pPr>
        <w:pStyle w:val="BodyTextGrey"/>
      </w:pPr>
      <w:r w:rsidRPr="0034365A">
        <w:t xml:space="preserve">Allowance </w:t>
      </w:r>
      <w:r w:rsidR="0090607C" w:rsidRPr="0034365A">
        <w:t>has been</w:t>
      </w:r>
      <w:r w:rsidRPr="0034365A">
        <w:t xml:space="preserve"> made for future improvements</w:t>
      </w:r>
      <w:r w:rsidR="00575BDD" w:rsidRPr="0034365A">
        <w:t xml:space="preserve"> </w:t>
      </w:r>
      <w:r w:rsidR="00DF4626" w:rsidRPr="0034365A">
        <w:t>in longevity</w:t>
      </w:r>
      <w:r w:rsidR="002C72A3" w:rsidRPr="0034365A">
        <w:t xml:space="preserve">, </w:t>
      </w:r>
      <w:r w:rsidR="00575BDD" w:rsidRPr="0034365A">
        <w:t>i</w:t>
      </w:r>
      <w:r w:rsidRPr="0034365A">
        <w:t>n line with the 20</w:t>
      </w:r>
      <w:r w:rsidR="004A12F7" w:rsidRPr="0034365A">
        <w:t>2</w:t>
      </w:r>
      <w:r w:rsidR="0034365A" w:rsidRPr="0034365A">
        <w:t>4</w:t>
      </w:r>
      <w:r w:rsidRPr="0034365A">
        <w:t xml:space="preserve"> version of the continuous mortality investigation</w:t>
      </w:r>
      <w:r w:rsidR="00575BDD" w:rsidRPr="0034365A">
        <w:t xml:space="preserve"> (CMI)</w:t>
      </w:r>
      <w:r w:rsidRPr="0034365A">
        <w:t xml:space="preserve"> published by the actuarial profession</w:t>
      </w:r>
      <w:r w:rsidR="00172A40" w:rsidRPr="0034365A">
        <w:t xml:space="preserve">. The starting point </w:t>
      </w:r>
      <w:r w:rsidR="00575BDD" w:rsidRPr="0034365A">
        <w:t>h</w:t>
      </w:r>
      <w:r w:rsidR="00172A40" w:rsidRPr="0034365A">
        <w:t>as been adjusted</w:t>
      </w:r>
      <w:r w:rsidR="00575BDD" w:rsidRPr="0034365A">
        <w:t xml:space="preserve"> </w:t>
      </w:r>
      <w:r w:rsidR="00A759F9" w:rsidRPr="0034365A">
        <w:t>by +</w:t>
      </w:r>
      <w:r w:rsidR="00575BDD" w:rsidRPr="0034365A">
        <w:t xml:space="preserve">0.25% </w:t>
      </w:r>
      <w:r w:rsidR="00172A40" w:rsidRPr="0034365A">
        <w:t>to reflect the difference between</w:t>
      </w:r>
      <w:r w:rsidR="00575BDD" w:rsidRPr="0034365A">
        <w:t xml:space="preserve"> the</w:t>
      </w:r>
      <w:r w:rsidR="00172A40" w:rsidRPr="0034365A">
        <w:t xml:space="preserve"> population-wide data </w:t>
      </w:r>
      <w:r w:rsidR="00575BDD" w:rsidRPr="0034365A">
        <w:t xml:space="preserve">used in the CMI and LGPS membership. A long-term rate of </w:t>
      </w:r>
      <w:r w:rsidR="00E13D59" w:rsidRPr="0034365A">
        <w:t xml:space="preserve">mortality </w:t>
      </w:r>
      <w:r w:rsidR="00575BDD" w:rsidRPr="0034365A">
        <w:t>improvement</w:t>
      </w:r>
      <w:r w:rsidR="00E13D59" w:rsidRPr="0034365A">
        <w:t>s</w:t>
      </w:r>
      <w:r w:rsidR="00575BDD" w:rsidRPr="0034365A">
        <w:t xml:space="preserve"> </w:t>
      </w:r>
      <w:r w:rsidR="00E13D59" w:rsidRPr="0034365A">
        <w:t xml:space="preserve">of </w:t>
      </w:r>
      <w:r w:rsidRPr="0034365A">
        <w:t>1.5% p</w:t>
      </w:r>
      <w:r w:rsidR="00172A40" w:rsidRPr="0034365A">
        <w:t>a</w:t>
      </w:r>
      <w:r w:rsidRPr="0034365A">
        <w:t xml:space="preserve"> </w:t>
      </w:r>
      <w:r w:rsidR="00E13D59" w:rsidRPr="0034365A">
        <w:t>applies</w:t>
      </w:r>
      <w:r w:rsidRPr="0034365A">
        <w:t>.</w:t>
      </w:r>
      <w:r w:rsidRPr="00B9656B">
        <w:t xml:space="preserve"> </w:t>
      </w:r>
    </w:p>
    <w:tbl>
      <w:tblPr>
        <w:tblStyle w:val="TableGrid"/>
        <w:tblW w:w="9923" w:type="dxa"/>
        <w:tblBorders>
          <w:top w:val="none" w:sz="0" w:space="0" w:color="auto"/>
          <w:left w:val="none" w:sz="0" w:space="0" w:color="auto"/>
          <w:bottom w:val="none" w:sz="0" w:space="0" w:color="auto"/>
          <w:right w:val="none" w:sz="0" w:space="0" w:color="auto"/>
          <w:insideH w:val="single" w:sz="4" w:space="0" w:color="455560" w:themeColor="accent5"/>
          <w:insideV w:val="none" w:sz="0" w:space="0" w:color="auto"/>
        </w:tblBorders>
        <w:tblLook w:val="04A0" w:firstRow="1" w:lastRow="0" w:firstColumn="1" w:lastColumn="0" w:noHBand="0" w:noVBand="1"/>
      </w:tblPr>
      <w:tblGrid>
        <w:gridCol w:w="2835"/>
        <w:gridCol w:w="284"/>
        <w:gridCol w:w="6804"/>
      </w:tblGrid>
      <w:tr w:rsidR="00613FBF" w:rsidRPr="00D63229" w14:paraId="6D636892" w14:textId="77777777" w:rsidTr="00613FBF">
        <w:tc>
          <w:tcPr>
            <w:tcW w:w="2835" w:type="dxa"/>
            <w:tcBorders>
              <w:top w:val="nil"/>
              <w:bottom w:val="single" w:sz="8" w:space="0" w:color="455560" w:themeColor="accent5"/>
              <w:right w:val="nil"/>
            </w:tcBorders>
          </w:tcPr>
          <w:p w14:paraId="7C2F71BC" w14:textId="6ED6477A" w:rsidR="00613FBF" w:rsidRPr="00613FBF" w:rsidRDefault="004E0DFD" w:rsidP="00613FBF">
            <w:pPr>
              <w:pStyle w:val="BodyTextGrey"/>
              <w:spacing w:before="120" w:after="120" w:line="220" w:lineRule="atLeast"/>
            </w:pPr>
            <w:r>
              <w:rPr>
                <w:b/>
                <w:bCs/>
                <w:color w:val="3FA6CC" w:themeColor="accent1"/>
              </w:rPr>
              <w:t>Other d</w:t>
            </w:r>
            <w:r w:rsidR="00613FBF" w:rsidRPr="00613FBF">
              <w:rPr>
                <w:b/>
                <w:bCs/>
                <w:color w:val="3FA6CC" w:themeColor="accent1"/>
              </w:rPr>
              <w:t>emographic assumptions</w:t>
            </w:r>
          </w:p>
        </w:tc>
        <w:tc>
          <w:tcPr>
            <w:tcW w:w="7088" w:type="dxa"/>
            <w:gridSpan w:val="2"/>
            <w:tcBorders>
              <w:top w:val="nil"/>
              <w:left w:val="nil"/>
              <w:bottom w:val="single" w:sz="8" w:space="0" w:color="455560" w:themeColor="accent5"/>
              <w:right w:val="nil"/>
            </w:tcBorders>
          </w:tcPr>
          <w:p w14:paraId="432B40D8" w14:textId="77777777" w:rsidR="00613FBF" w:rsidRDefault="00613FBF" w:rsidP="00613FBF">
            <w:pPr>
              <w:pStyle w:val="BodyTextGrey"/>
              <w:spacing w:before="120" w:after="120" w:line="220" w:lineRule="atLeast"/>
              <w:rPr>
                <w:sz w:val="18"/>
                <w:szCs w:val="18"/>
              </w:rPr>
            </w:pPr>
          </w:p>
        </w:tc>
      </w:tr>
      <w:tr w:rsidR="00317040" w:rsidRPr="00D63229" w14:paraId="5D37EE9D" w14:textId="77777777" w:rsidTr="00613FBF">
        <w:tc>
          <w:tcPr>
            <w:tcW w:w="3119" w:type="dxa"/>
            <w:gridSpan w:val="2"/>
            <w:tcBorders>
              <w:top w:val="nil"/>
              <w:bottom w:val="single" w:sz="8" w:space="0" w:color="455560" w:themeColor="accent5"/>
              <w:right w:val="nil"/>
            </w:tcBorders>
          </w:tcPr>
          <w:p w14:paraId="7818CF22" w14:textId="09704DD1" w:rsidR="00317040" w:rsidRPr="00613FBF" w:rsidRDefault="00317040" w:rsidP="00317040">
            <w:pPr>
              <w:pStyle w:val="BodyTextGrey"/>
              <w:spacing w:beforeLines="20" w:before="48" w:afterLines="20" w:after="48" w:line="220" w:lineRule="atLeast"/>
            </w:pPr>
            <w:r w:rsidRPr="00613FBF">
              <w:t>Retirement in normal health</w:t>
            </w:r>
          </w:p>
        </w:tc>
        <w:tc>
          <w:tcPr>
            <w:tcW w:w="6804" w:type="dxa"/>
            <w:tcBorders>
              <w:top w:val="nil"/>
              <w:left w:val="nil"/>
              <w:bottom w:val="single" w:sz="8" w:space="0" w:color="455560" w:themeColor="accent5"/>
              <w:right w:val="nil"/>
            </w:tcBorders>
          </w:tcPr>
          <w:p w14:paraId="6ACF4B40" w14:textId="46A3332D" w:rsidR="00317040" w:rsidRPr="00613FBF" w:rsidRDefault="001603D8" w:rsidP="00317040">
            <w:pPr>
              <w:pStyle w:val="BodyTextGrey"/>
              <w:spacing w:beforeLines="20" w:before="48" w:afterLines="20" w:after="48" w:line="220" w:lineRule="atLeast"/>
            </w:pPr>
            <w:r>
              <w:t xml:space="preserve">Members are assumed to retire at the earliest age </w:t>
            </w:r>
            <w:r w:rsidR="0040717E">
              <w:t>possible with no pension reduction</w:t>
            </w:r>
            <w:r>
              <w:t xml:space="preserve">. </w:t>
            </w:r>
          </w:p>
        </w:tc>
      </w:tr>
      <w:tr w:rsidR="00DD61C6" w:rsidRPr="00D63229" w14:paraId="0527F2CF" w14:textId="77777777" w:rsidTr="00613FBF">
        <w:tc>
          <w:tcPr>
            <w:tcW w:w="3119" w:type="dxa"/>
            <w:gridSpan w:val="2"/>
            <w:tcBorders>
              <w:top w:val="nil"/>
              <w:bottom w:val="single" w:sz="8" w:space="0" w:color="455560" w:themeColor="accent5"/>
              <w:right w:val="nil"/>
            </w:tcBorders>
          </w:tcPr>
          <w:p w14:paraId="66B8DE12" w14:textId="04408DD0" w:rsidR="00DD61C6" w:rsidRPr="00613FBF" w:rsidRDefault="00DD61C6" w:rsidP="00DD61C6">
            <w:pPr>
              <w:pStyle w:val="BodyTextGrey"/>
              <w:spacing w:beforeLines="20" w:before="48" w:afterLines="20" w:after="48" w:line="220" w:lineRule="atLeast"/>
            </w:pPr>
            <w:r w:rsidRPr="00613FBF">
              <w:t>Promotional salary increases</w:t>
            </w:r>
          </w:p>
        </w:tc>
        <w:tc>
          <w:tcPr>
            <w:tcW w:w="6804" w:type="dxa"/>
            <w:tcBorders>
              <w:top w:val="nil"/>
              <w:left w:val="nil"/>
              <w:bottom w:val="single" w:sz="8" w:space="0" w:color="455560" w:themeColor="accent5"/>
              <w:right w:val="nil"/>
            </w:tcBorders>
          </w:tcPr>
          <w:p w14:paraId="5D2C3CDE" w14:textId="3B8D1A36" w:rsidR="00DD61C6" w:rsidRPr="00613FBF" w:rsidDel="001603D8" w:rsidRDefault="00DD61C6" w:rsidP="00DD61C6">
            <w:pPr>
              <w:pStyle w:val="BodyTextGrey"/>
              <w:spacing w:beforeLines="20" w:before="48" w:afterLines="20" w:after="48" w:line="220" w:lineRule="atLeast"/>
            </w:pPr>
            <w:r w:rsidRPr="00613FBF">
              <w:t>Sample increases below</w:t>
            </w:r>
          </w:p>
        </w:tc>
      </w:tr>
      <w:tr w:rsidR="00DD61C6" w:rsidRPr="00D63229" w14:paraId="4343D4A4" w14:textId="77777777" w:rsidTr="00613FBF">
        <w:tc>
          <w:tcPr>
            <w:tcW w:w="3119" w:type="dxa"/>
            <w:gridSpan w:val="2"/>
            <w:tcBorders>
              <w:top w:val="single" w:sz="8" w:space="0" w:color="455560" w:themeColor="accent5"/>
              <w:bottom w:val="single" w:sz="8" w:space="0" w:color="455560" w:themeColor="accent5"/>
              <w:right w:val="nil"/>
            </w:tcBorders>
          </w:tcPr>
          <w:p w14:paraId="45C9E9D5" w14:textId="6CB2C9EF" w:rsidR="00DD61C6" w:rsidRPr="00613FBF" w:rsidRDefault="00DD61C6" w:rsidP="00DD61C6">
            <w:pPr>
              <w:pStyle w:val="BodyTextGrey"/>
              <w:spacing w:beforeLines="20" w:before="48" w:afterLines="20" w:after="48" w:line="220" w:lineRule="atLeast"/>
            </w:pPr>
            <w:r w:rsidRPr="00613FBF">
              <w:t>Death in service</w:t>
            </w:r>
          </w:p>
        </w:tc>
        <w:tc>
          <w:tcPr>
            <w:tcW w:w="6804" w:type="dxa"/>
            <w:tcBorders>
              <w:top w:val="single" w:sz="8" w:space="0" w:color="455560" w:themeColor="accent5"/>
              <w:left w:val="nil"/>
              <w:bottom w:val="single" w:sz="8" w:space="0" w:color="455560" w:themeColor="accent5"/>
              <w:right w:val="nil"/>
            </w:tcBorders>
          </w:tcPr>
          <w:p w14:paraId="6E1C6053" w14:textId="7DEF27BA" w:rsidR="00DD61C6" w:rsidRPr="00613FBF" w:rsidRDefault="00DD61C6" w:rsidP="00DD61C6">
            <w:pPr>
              <w:pStyle w:val="BodyTextGrey"/>
              <w:spacing w:beforeLines="20" w:before="48" w:afterLines="20" w:after="48" w:line="220" w:lineRule="atLeast"/>
            </w:pPr>
            <w:r>
              <w:t>S</w:t>
            </w:r>
            <w:r w:rsidRPr="00613FBF">
              <w:t>ample rates below</w:t>
            </w:r>
          </w:p>
        </w:tc>
      </w:tr>
      <w:tr w:rsidR="00DD61C6" w:rsidRPr="00D63229" w14:paraId="703A9BBB" w14:textId="77777777" w:rsidTr="00613FBF">
        <w:tc>
          <w:tcPr>
            <w:tcW w:w="3119" w:type="dxa"/>
            <w:gridSpan w:val="2"/>
            <w:tcBorders>
              <w:top w:val="single" w:sz="8" w:space="0" w:color="455560" w:themeColor="accent5"/>
              <w:bottom w:val="single" w:sz="8" w:space="0" w:color="455560" w:themeColor="accent5"/>
              <w:right w:val="nil"/>
            </w:tcBorders>
          </w:tcPr>
          <w:p w14:paraId="4A7DD35C" w14:textId="79B3536C" w:rsidR="00DD61C6" w:rsidRPr="00613FBF" w:rsidRDefault="00DD61C6" w:rsidP="00DD61C6">
            <w:pPr>
              <w:pStyle w:val="BodyTextGrey"/>
              <w:spacing w:beforeLines="20" w:before="48" w:afterLines="20" w:after="48" w:line="220" w:lineRule="atLeast"/>
            </w:pPr>
            <w:r w:rsidRPr="00613FBF">
              <w:t>Withdrawals</w:t>
            </w:r>
          </w:p>
        </w:tc>
        <w:tc>
          <w:tcPr>
            <w:tcW w:w="6804" w:type="dxa"/>
            <w:tcBorders>
              <w:top w:val="single" w:sz="8" w:space="0" w:color="455560" w:themeColor="accent5"/>
              <w:left w:val="nil"/>
              <w:bottom w:val="single" w:sz="8" w:space="0" w:color="455560" w:themeColor="accent5"/>
              <w:right w:val="nil"/>
            </w:tcBorders>
          </w:tcPr>
          <w:p w14:paraId="582246E3" w14:textId="2E288D94" w:rsidR="00DD61C6" w:rsidRPr="00613FBF" w:rsidRDefault="00DD61C6" w:rsidP="00DD61C6">
            <w:pPr>
              <w:pStyle w:val="BodyTextGrey"/>
              <w:spacing w:beforeLines="20" w:before="48" w:afterLines="20" w:after="48" w:line="220" w:lineRule="atLeast"/>
            </w:pPr>
            <w:r w:rsidRPr="00613FBF">
              <w:t>Sample rates below</w:t>
            </w:r>
          </w:p>
        </w:tc>
      </w:tr>
      <w:tr w:rsidR="00DD61C6" w:rsidRPr="00D63229" w14:paraId="1DB7B3E7" w14:textId="77777777" w:rsidTr="00613FBF">
        <w:tc>
          <w:tcPr>
            <w:tcW w:w="3119" w:type="dxa"/>
            <w:gridSpan w:val="2"/>
            <w:tcBorders>
              <w:top w:val="single" w:sz="8" w:space="0" w:color="455560" w:themeColor="accent5"/>
              <w:bottom w:val="single" w:sz="8" w:space="0" w:color="455560" w:themeColor="accent5"/>
              <w:right w:val="nil"/>
            </w:tcBorders>
          </w:tcPr>
          <w:p w14:paraId="13754DDF" w14:textId="64CC3690" w:rsidR="00DD61C6" w:rsidRPr="00613FBF" w:rsidRDefault="00DD61C6" w:rsidP="00DD61C6">
            <w:pPr>
              <w:pStyle w:val="BodyTextGrey"/>
              <w:spacing w:beforeLines="20" w:before="48" w:afterLines="20" w:after="48" w:line="220" w:lineRule="atLeast"/>
            </w:pPr>
            <w:r w:rsidRPr="00613FBF">
              <w:t>Retirement in ill health</w:t>
            </w:r>
          </w:p>
        </w:tc>
        <w:tc>
          <w:tcPr>
            <w:tcW w:w="6804" w:type="dxa"/>
            <w:tcBorders>
              <w:top w:val="single" w:sz="8" w:space="0" w:color="455560" w:themeColor="accent5"/>
              <w:left w:val="nil"/>
              <w:bottom w:val="single" w:sz="8" w:space="0" w:color="455560" w:themeColor="accent5"/>
              <w:right w:val="nil"/>
            </w:tcBorders>
          </w:tcPr>
          <w:p w14:paraId="16391E16" w14:textId="2A729B75" w:rsidR="00DD61C6" w:rsidRPr="00613FBF" w:rsidRDefault="00DD61C6" w:rsidP="00DD61C6">
            <w:pPr>
              <w:pStyle w:val="BodyTextGrey"/>
              <w:tabs>
                <w:tab w:val="left" w:pos="688"/>
              </w:tabs>
              <w:spacing w:beforeLines="20" w:before="48" w:afterLines="20" w:after="48" w:line="220" w:lineRule="atLeast"/>
            </w:pPr>
            <w:r>
              <w:t>S</w:t>
            </w:r>
            <w:r w:rsidRPr="00613FBF">
              <w:t>ample rates below</w:t>
            </w:r>
          </w:p>
        </w:tc>
      </w:tr>
      <w:tr w:rsidR="00DD61C6" w:rsidRPr="00D63229" w14:paraId="4D71B433" w14:textId="77777777" w:rsidTr="00613FBF">
        <w:tc>
          <w:tcPr>
            <w:tcW w:w="3119" w:type="dxa"/>
            <w:gridSpan w:val="2"/>
            <w:tcBorders>
              <w:top w:val="single" w:sz="8" w:space="0" w:color="455560" w:themeColor="accent5"/>
              <w:bottom w:val="single" w:sz="8" w:space="0" w:color="455560" w:themeColor="accent5"/>
              <w:right w:val="nil"/>
            </w:tcBorders>
          </w:tcPr>
          <w:p w14:paraId="2B7D58D8" w14:textId="0719C4A4" w:rsidR="00DD61C6" w:rsidRPr="00613FBF" w:rsidRDefault="00DD61C6" w:rsidP="00DD61C6">
            <w:pPr>
              <w:pStyle w:val="BodyTextGrey"/>
              <w:spacing w:beforeLines="20" w:before="48" w:afterLines="20" w:after="48" w:line="220" w:lineRule="atLeast"/>
            </w:pPr>
            <w:r w:rsidRPr="00613FBF">
              <w:t>Family details</w:t>
            </w:r>
          </w:p>
        </w:tc>
        <w:tc>
          <w:tcPr>
            <w:tcW w:w="6804" w:type="dxa"/>
            <w:tcBorders>
              <w:top w:val="single" w:sz="8" w:space="0" w:color="455560" w:themeColor="accent5"/>
              <w:left w:val="nil"/>
              <w:bottom w:val="single" w:sz="8" w:space="0" w:color="455560" w:themeColor="accent5"/>
              <w:right w:val="nil"/>
            </w:tcBorders>
          </w:tcPr>
          <w:p w14:paraId="02C62B97" w14:textId="100B0A92" w:rsidR="00DD61C6" w:rsidRPr="00557B97" w:rsidRDefault="00DD61C6" w:rsidP="00557B97">
            <w:pPr>
              <w:pStyle w:val="BodyTextGrey"/>
              <w:spacing w:beforeLines="20" w:before="48" w:afterLines="20" w:after="48" w:line="220" w:lineRule="atLeast"/>
            </w:pPr>
            <w:r w:rsidRPr="00557B97">
              <w:t xml:space="preserve">A varying proportion of members are assumed to have a </w:t>
            </w:r>
            <w:r w:rsidR="000E07BC" w:rsidRPr="00557B97">
              <w:t xml:space="preserve">dependant </w:t>
            </w:r>
            <w:r w:rsidR="0064257A" w:rsidRPr="00557B97">
              <w:t xml:space="preserve">partner </w:t>
            </w:r>
            <w:r w:rsidR="000D1F5C" w:rsidRPr="00557B97">
              <w:t>on</w:t>
            </w:r>
            <w:r w:rsidRPr="00557B97">
              <w:t xml:space="preserve"> death. For example, at age 6</w:t>
            </w:r>
            <w:r w:rsidR="00CC59D1" w:rsidRPr="00557B97">
              <w:t>5</w:t>
            </w:r>
            <w:r w:rsidRPr="00557B97">
              <w:t xml:space="preserve"> this is assumed to be </w:t>
            </w:r>
            <w:r w:rsidR="00CC59D1" w:rsidRPr="00557B97">
              <w:t>55</w:t>
            </w:r>
            <w:r w:rsidRPr="00557B97">
              <w:t xml:space="preserve">% for males and </w:t>
            </w:r>
            <w:r w:rsidR="00CC59D1" w:rsidRPr="00557B97">
              <w:t>54</w:t>
            </w:r>
            <w:r w:rsidRPr="00557B97">
              <w:t xml:space="preserve">% for females. </w:t>
            </w:r>
            <w:r w:rsidR="00557B97" w:rsidRPr="00557B97">
              <w:t>The dependant of a male member is assumed to be 3.5 years younger than him and the dependent of a female member is assumed to be 0.6 years older than her.</w:t>
            </w:r>
          </w:p>
        </w:tc>
      </w:tr>
      <w:tr w:rsidR="00DD61C6" w:rsidRPr="00D63229" w14:paraId="02501BAF" w14:textId="77777777" w:rsidTr="00613FBF">
        <w:tc>
          <w:tcPr>
            <w:tcW w:w="3119" w:type="dxa"/>
            <w:gridSpan w:val="2"/>
            <w:tcBorders>
              <w:top w:val="single" w:sz="8" w:space="0" w:color="455560" w:themeColor="accent5"/>
              <w:bottom w:val="single" w:sz="8" w:space="0" w:color="455560" w:themeColor="accent5"/>
              <w:right w:val="nil"/>
            </w:tcBorders>
          </w:tcPr>
          <w:p w14:paraId="1E1AD6FB" w14:textId="6B4A9C21" w:rsidR="00DD61C6" w:rsidRPr="00613FBF" w:rsidRDefault="00DD61C6" w:rsidP="00DD61C6">
            <w:pPr>
              <w:pStyle w:val="BodyTextGrey"/>
              <w:spacing w:beforeLines="20" w:before="48" w:afterLines="20" w:after="48" w:line="220" w:lineRule="atLeast"/>
            </w:pPr>
            <w:r w:rsidRPr="00613FBF">
              <w:t>Commutation</w:t>
            </w:r>
          </w:p>
        </w:tc>
        <w:tc>
          <w:tcPr>
            <w:tcW w:w="6804" w:type="dxa"/>
            <w:tcBorders>
              <w:top w:val="single" w:sz="8" w:space="0" w:color="455560" w:themeColor="accent5"/>
              <w:left w:val="nil"/>
              <w:bottom w:val="single" w:sz="8" w:space="0" w:color="455560" w:themeColor="accent5"/>
              <w:right w:val="nil"/>
            </w:tcBorders>
          </w:tcPr>
          <w:p w14:paraId="06B6157B" w14:textId="0CA518BC" w:rsidR="00DD61C6" w:rsidRPr="00557B97" w:rsidRDefault="00557B97" w:rsidP="00DD61C6">
            <w:pPr>
              <w:pStyle w:val="BodyTextGrey"/>
              <w:spacing w:beforeLines="20" w:before="48" w:afterLines="20" w:after="48" w:line="220" w:lineRule="atLeast"/>
            </w:pPr>
            <w:r w:rsidRPr="00557B97">
              <w:t>70</w:t>
            </w:r>
            <w:r w:rsidR="00DD61C6" w:rsidRPr="00557B97">
              <w:t xml:space="preserve">% of maximum tax-free cash </w:t>
            </w:r>
          </w:p>
        </w:tc>
      </w:tr>
      <w:tr w:rsidR="00DD61C6" w:rsidRPr="00D63229" w14:paraId="2E5BD850" w14:textId="77777777" w:rsidTr="00613FBF">
        <w:tc>
          <w:tcPr>
            <w:tcW w:w="3119" w:type="dxa"/>
            <w:gridSpan w:val="2"/>
            <w:tcBorders>
              <w:top w:val="single" w:sz="8" w:space="0" w:color="455560" w:themeColor="accent5"/>
              <w:bottom w:val="single" w:sz="8" w:space="0" w:color="455560" w:themeColor="accent5"/>
              <w:right w:val="nil"/>
            </w:tcBorders>
          </w:tcPr>
          <w:p w14:paraId="5642C75D" w14:textId="1FF46788" w:rsidR="00DD61C6" w:rsidRPr="00613FBF" w:rsidRDefault="00DD61C6" w:rsidP="00DD61C6">
            <w:pPr>
              <w:pStyle w:val="BodyTextGrey"/>
              <w:spacing w:beforeLines="20" w:before="48" w:afterLines="20" w:after="48" w:line="220" w:lineRule="atLeast"/>
            </w:pPr>
            <w:r w:rsidRPr="00613FBF">
              <w:t>50:50 option</w:t>
            </w:r>
          </w:p>
        </w:tc>
        <w:tc>
          <w:tcPr>
            <w:tcW w:w="6804" w:type="dxa"/>
            <w:tcBorders>
              <w:top w:val="single" w:sz="8" w:space="0" w:color="455560" w:themeColor="accent5"/>
              <w:left w:val="nil"/>
              <w:bottom w:val="single" w:sz="8" w:space="0" w:color="455560" w:themeColor="accent5"/>
              <w:right w:val="nil"/>
            </w:tcBorders>
          </w:tcPr>
          <w:p w14:paraId="5AE71CDE" w14:textId="2C8BA4C4" w:rsidR="00DD61C6" w:rsidRPr="00613FBF" w:rsidRDefault="00557B97" w:rsidP="00DD61C6">
            <w:pPr>
              <w:pStyle w:val="BodyTextGrey"/>
              <w:spacing w:beforeLines="20" w:before="48" w:afterLines="20" w:after="48" w:line="220" w:lineRule="atLeast"/>
            </w:pPr>
            <w:r>
              <w:t>0%</w:t>
            </w:r>
            <w:r w:rsidR="00DD61C6" w:rsidRPr="00613FBF">
              <w:t xml:space="preserve"> of members will </w:t>
            </w:r>
            <w:r>
              <w:t>elect to change scheme</w:t>
            </w:r>
          </w:p>
        </w:tc>
      </w:tr>
    </w:tbl>
    <w:p w14:paraId="615936A0" w14:textId="665443F6" w:rsidR="00447771" w:rsidRDefault="00447771" w:rsidP="00447771">
      <w:pPr>
        <w:pStyle w:val="BodyTextGrey"/>
        <w:rPr>
          <w:b/>
          <w:color w:val="FFFFFF" w:themeColor="text1"/>
        </w:rPr>
      </w:pPr>
    </w:p>
    <w:p w14:paraId="7EF4F38C" w14:textId="15E30C84" w:rsidR="00ED2E34" w:rsidRDefault="004E0DFD" w:rsidP="004F5C25">
      <w:pPr>
        <w:spacing w:after="20" w:line="240" w:lineRule="auto"/>
        <w:jc w:val="left"/>
      </w:pPr>
      <w:bookmarkStart w:id="145" w:name="_Toc86162890"/>
      <w:r>
        <w:lastRenderedPageBreak/>
        <w:t>D3</w:t>
      </w:r>
      <w:r w:rsidR="00773FF9">
        <w:t xml:space="preserve"> </w:t>
      </w:r>
      <w:r w:rsidR="00C22078" w:rsidRPr="00C22078">
        <w:t>R</w:t>
      </w:r>
      <w:r w:rsidR="00447771" w:rsidRPr="00C22078">
        <w:t>ates for demographic assumptions</w:t>
      </w:r>
      <w:bookmarkEnd w:id="145"/>
      <w:r w:rsidR="00447771" w:rsidRPr="00C22078">
        <w:rPr>
          <w:rStyle w:val="Heading3Char"/>
        </w:rPr>
        <w:br/>
      </w:r>
      <w:bookmarkStart w:id="146" w:name="_Toc86162891"/>
      <w:r w:rsidR="00447771" w:rsidRPr="00C22078">
        <w:rPr>
          <w:rStyle w:val="Heading4Char"/>
          <w:iCs/>
          <w:color w:val="455560" w:themeColor="accent5"/>
        </w:rPr>
        <w:t>Males</w:t>
      </w:r>
      <w:bookmarkEnd w:id="146"/>
      <w:r w:rsidR="00ED2E34">
        <w:rPr>
          <w:rStyle w:val="Heading4Char"/>
          <w:iCs/>
          <w:color w:val="455560" w:themeColor="accent5"/>
        </w:rPr>
        <w:t xml:space="preserve"> </w:t>
      </w:r>
    </w:p>
    <w:tbl>
      <w:tblPr>
        <w:tblStyle w:val="TableGrid"/>
        <w:tblW w:w="10060" w:type="dxa"/>
        <w:tblBorders>
          <w:top w:val="none" w:sz="0" w:space="0" w:color="auto"/>
          <w:left w:val="none" w:sz="0" w:space="0" w:color="auto"/>
          <w:bottom w:val="none" w:sz="0" w:space="0" w:color="auto"/>
          <w:right w:val="none" w:sz="0" w:space="0" w:color="auto"/>
          <w:insideH w:val="single" w:sz="4" w:space="0" w:color="455560" w:themeColor="accent5"/>
          <w:insideV w:val="none" w:sz="0" w:space="0" w:color="auto"/>
        </w:tblBorders>
        <w:tblLook w:val="04A0" w:firstRow="1" w:lastRow="0" w:firstColumn="1" w:lastColumn="0" w:noHBand="0" w:noVBand="1"/>
      </w:tblPr>
      <w:tblGrid>
        <w:gridCol w:w="1676"/>
        <w:gridCol w:w="1677"/>
        <w:gridCol w:w="1677"/>
        <w:gridCol w:w="838"/>
        <w:gridCol w:w="838"/>
        <w:gridCol w:w="838"/>
        <w:gridCol w:w="839"/>
        <w:gridCol w:w="838"/>
        <w:gridCol w:w="832"/>
        <w:gridCol w:w="7"/>
      </w:tblGrid>
      <w:tr w:rsidR="00D001EE" w:rsidRPr="00D63229" w14:paraId="7FBA78D2" w14:textId="77777777" w:rsidTr="00D076C1">
        <w:trPr>
          <w:gridAfter w:val="1"/>
          <w:wAfter w:w="7" w:type="dxa"/>
        </w:trPr>
        <w:tc>
          <w:tcPr>
            <w:tcW w:w="10053" w:type="dxa"/>
            <w:gridSpan w:val="9"/>
            <w:tcBorders>
              <w:top w:val="nil"/>
              <w:bottom w:val="nil"/>
            </w:tcBorders>
            <w:shd w:val="clear" w:color="auto" w:fill="455560" w:themeFill="accent5"/>
          </w:tcPr>
          <w:p w14:paraId="10F41AF2" w14:textId="1BD044CD" w:rsidR="00D001EE" w:rsidRPr="00D63229" w:rsidRDefault="00D001EE" w:rsidP="00D63229">
            <w:pPr>
              <w:pStyle w:val="BodyTextGrey"/>
              <w:spacing w:beforeLines="20" w:before="48" w:afterLines="20" w:after="48" w:line="220" w:lineRule="atLeast"/>
              <w:jc w:val="center"/>
              <w:rPr>
                <w:b/>
                <w:bCs/>
                <w:sz w:val="18"/>
                <w:szCs w:val="18"/>
              </w:rPr>
            </w:pPr>
            <w:r w:rsidRPr="00D63229">
              <w:rPr>
                <w:b/>
                <w:bCs/>
                <w:color w:val="FFFFFF" w:themeColor="text2"/>
                <w:sz w:val="18"/>
                <w:szCs w:val="18"/>
              </w:rPr>
              <w:t xml:space="preserve">Incidence per 1000 active members </w:t>
            </w:r>
            <w:r w:rsidR="00EB3BD4">
              <w:rPr>
                <w:b/>
                <w:bCs/>
                <w:color w:val="FFFFFF" w:themeColor="text2"/>
                <w:sz w:val="18"/>
                <w:szCs w:val="18"/>
              </w:rPr>
              <w:t xml:space="preserve">per year </w:t>
            </w:r>
          </w:p>
        </w:tc>
      </w:tr>
      <w:tr w:rsidR="00D001EE" w14:paraId="775DD4C4" w14:textId="77777777" w:rsidTr="00D076C1">
        <w:tc>
          <w:tcPr>
            <w:tcW w:w="1676" w:type="dxa"/>
            <w:tcBorders>
              <w:top w:val="nil"/>
              <w:bottom w:val="nil"/>
              <w:right w:val="nil"/>
            </w:tcBorders>
            <w:shd w:val="clear" w:color="auto" w:fill="869AA8" w:themeFill="accent5" w:themeFillTint="99"/>
          </w:tcPr>
          <w:p w14:paraId="2FBA185C" w14:textId="77777777"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Age</w:t>
            </w:r>
          </w:p>
        </w:tc>
        <w:tc>
          <w:tcPr>
            <w:tcW w:w="1677" w:type="dxa"/>
            <w:tcBorders>
              <w:top w:val="nil"/>
              <w:left w:val="nil"/>
              <w:bottom w:val="nil"/>
              <w:right w:val="nil"/>
            </w:tcBorders>
            <w:shd w:val="clear" w:color="auto" w:fill="869AA8" w:themeFill="accent5" w:themeFillTint="99"/>
          </w:tcPr>
          <w:p w14:paraId="114555DF" w14:textId="1FEC263F"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 xml:space="preserve">Salary </w:t>
            </w:r>
            <w:r w:rsidR="000E07BC">
              <w:rPr>
                <w:b/>
                <w:bCs/>
                <w:color w:val="FFFFFF" w:themeColor="text2"/>
                <w:sz w:val="18"/>
                <w:szCs w:val="18"/>
              </w:rPr>
              <w:t>s</w:t>
            </w:r>
            <w:r w:rsidRPr="00D63229">
              <w:rPr>
                <w:b/>
                <w:bCs/>
                <w:color w:val="FFFFFF" w:themeColor="text2"/>
                <w:sz w:val="18"/>
                <w:szCs w:val="18"/>
              </w:rPr>
              <w:t>cale</w:t>
            </w:r>
          </w:p>
        </w:tc>
        <w:tc>
          <w:tcPr>
            <w:tcW w:w="1677" w:type="dxa"/>
            <w:tcBorders>
              <w:top w:val="nil"/>
              <w:left w:val="nil"/>
              <w:bottom w:val="nil"/>
              <w:right w:val="nil"/>
            </w:tcBorders>
            <w:shd w:val="clear" w:color="auto" w:fill="869AA8" w:themeFill="accent5" w:themeFillTint="99"/>
          </w:tcPr>
          <w:p w14:paraId="2BFBF453" w14:textId="77777777"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Death before retirement</w:t>
            </w:r>
          </w:p>
        </w:tc>
        <w:tc>
          <w:tcPr>
            <w:tcW w:w="1676" w:type="dxa"/>
            <w:gridSpan w:val="2"/>
            <w:tcBorders>
              <w:top w:val="nil"/>
              <w:left w:val="nil"/>
              <w:bottom w:val="nil"/>
              <w:right w:val="nil"/>
            </w:tcBorders>
            <w:shd w:val="clear" w:color="auto" w:fill="869AA8" w:themeFill="accent5" w:themeFillTint="99"/>
          </w:tcPr>
          <w:p w14:paraId="7BD8E359" w14:textId="77777777"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Withdrawals</w:t>
            </w:r>
          </w:p>
        </w:tc>
        <w:tc>
          <w:tcPr>
            <w:tcW w:w="1677" w:type="dxa"/>
            <w:gridSpan w:val="2"/>
            <w:tcBorders>
              <w:top w:val="nil"/>
              <w:left w:val="nil"/>
              <w:bottom w:val="nil"/>
              <w:right w:val="nil"/>
            </w:tcBorders>
            <w:shd w:val="clear" w:color="auto" w:fill="869AA8" w:themeFill="accent5" w:themeFillTint="99"/>
          </w:tcPr>
          <w:p w14:paraId="4A96CD4F" w14:textId="7E37C87B"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Ill</w:t>
            </w:r>
            <w:r w:rsidR="000E07BC">
              <w:rPr>
                <w:b/>
                <w:bCs/>
                <w:color w:val="FFFFFF" w:themeColor="text2"/>
                <w:sz w:val="18"/>
                <w:szCs w:val="18"/>
              </w:rPr>
              <w:t>-h</w:t>
            </w:r>
            <w:r w:rsidRPr="00D63229">
              <w:rPr>
                <w:b/>
                <w:bCs/>
                <w:color w:val="FFFFFF" w:themeColor="text2"/>
                <w:sz w:val="18"/>
                <w:szCs w:val="18"/>
              </w:rPr>
              <w:t xml:space="preserve">ealth </w:t>
            </w:r>
            <w:r w:rsidR="000E07BC">
              <w:rPr>
                <w:b/>
                <w:bCs/>
                <w:color w:val="FFFFFF" w:themeColor="text2"/>
                <w:sz w:val="18"/>
                <w:szCs w:val="18"/>
              </w:rPr>
              <w:t>t</w:t>
            </w:r>
            <w:r w:rsidRPr="00D63229">
              <w:rPr>
                <w:b/>
                <w:bCs/>
                <w:color w:val="FFFFFF" w:themeColor="text2"/>
                <w:sz w:val="18"/>
                <w:szCs w:val="18"/>
              </w:rPr>
              <w:t>ier 1</w:t>
            </w:r>
          </w:p>
        </w:tc>
        <w:tc>
          <w:tcPr>
            <w:tcW w:w="1677" w:type="dxa"/>
            <w:gridSpan w:val="3"/>
            <w:tcBorders>
              <w:top w:val="nil"/>
              <w:left w:val="nil"/>
              <w:bottom w:val="nil"/>
            </w:tcBorders>
            <w:shd w:val="clear" w:color="auto" w:fill="869AA8" w:themeFill="accent5" w:themeFillTint="99"/>
          </w:tcPr>
          <w:p w14:paraId="164F32D5" w14:textId="1D9BD415" w:rsidR="00D001EE" w:rsidRPr="00D63229" w:rsidRDefault="00D001EE" w:rsidP="00D63229">
            <w:pPr>
              <w:pStyle w:val="BodyTextGrey"/>
              <w:spacing w:beforeLines="20" w:before="48" w:afterLines="20" w:after="48" w:line="220" w:lineRule="atLeast"/>
              <w:jc w:val="center"/>
              <w:rPr>
                <w:b/>
                <w:bCs/>
                <w:color w:val="FFFFFF" w:themeColor="text2"/>
                <w:sz w:val="18"/>
                <w:szCs w:val="18"/>
              </w:rPr>
            </w:pPr>
            <w:r w:rsidRPr="00D63229">
              <w:rPr>
                <w:b/>
                <w:bCs/>
                <w:color w:val="FFFFFF" w:themeColor="text2"/>
                <w:sz w:val="18"/>
                <w:szCs w:val="18"/>
              </w:rPr>
              <w:t>Ill</w:t>
            </w:r>
            <w:r w:rsidR="000E07BC">
              <w:rPr>
                <w:b/>
                <w:bCs/>
                <w:color w:val="FFFFFF" w:themeColor="text2"/>
                <w:sz w:val="18"/>
                <w:szCs w:val="18"/>
              </w:rPr>
              <w:t>-h</w:t>
            </w:r>
            <w:r w:rsidRPr="00D63229">
              <w:rPr>
                <w:b/>
                <w:bCs/>
                <w:color w:val="FFFFFF" w:themeColor="text2"/>
                <w:sz w:val="18"/>
                <w:szCs w:val="18"/>
              </w:rPr>
              <w:t xml:space="preserve">ealth </w:t>
            </w:r>
            <w:r w:rsidR="000E07BC">
              <w:rPr>
                <w:b/>
                <w:bCs/>
                <w:color w:val="FFFFFF" w:themeColor="text2"/>
                <w:sz w:val="18"/>
                <w:szCs w:val="18"/>
              </w:rPr>
              <w:t>t</w:t>
            </w:r>
            <w:r w:rsidRPr="00D63229">
              <w:rPr>
                <w:b/>
                <w:bCs/>
                <w:color w:val="FFFFFF" w:themeColor="text2"/>
                <w:sz w:val="18"/>
                <w:szCs w:val="18"/>
              </w:rPr>
              <w:t>ier 2</w:t>
            </w:r>
          </w:p>
        </w:tc>
      </w:tr>
      <w:tr w:rsidR="00D001EE" w:rsidRPr="002C0D40" w14:paraId="25504A1F" w14:textId="77777777" w:rsidTr="00D076C1">
        <w:tc>
          <w:tcPr>
            <w:tcW w:w="1676" w:type="dxa"/>
            <w:tcBorders>
              <w:top w:val="nil"/>
              <w:bottom w:val="nil"/>
              <w:right w:val="nil"/>
            </w:tcBorders>
            <w:shd w:val="clear" w:color="auto" w:fill="D6DDE2" w:themeFill="accent5" w:themeFillTint="33"/>
          </w:tcPr>
          <w:p w14:paraId="65B856AA" w14:textId="77777777" w:rsidR="00D001EE" w:rsidRPr="00D63229" w:rsidRDefault="00D001EE" w:rsidP="00D63229">
            <w:pPr>
              <w:pStyle w:val="BodyTextGrey"/>
              <w:spacing w:beforeLines="20" w:before="48" w:afterLines="20" w:after="48" w:line="220" w:lineRule="atLeast"/>
              <w:jc w:val="center"/>
              <w:rPr>
                <w:sz w:val="18"/>
                <w:szCs w:val="18"/>
              </w:rPr>
            </w:pPr>
          </w:p>
        </w:tc>
        <w:tc>
          <w:tcPr>
            <w:tcW w:w="1677" w:type="dxa"/>
            <w:tcBorders>
              <w:top w:val="nil"/>
              <w:left w:val="nil"/>
              <w:bottom w:val="nil"/>
              <w:right w:val="nil"/>
            </w:tcBorders>
            <w:shd w:val="clear" w:color="auto" w:fill="D6DDE2" w:themeFill="accent5" w:themeFillTint="33"/>
          </w:tcPr>
          <w:p w14:paraId="6BE1B483" w14:textId="77777777" w:rsidR="00D001EE" w:rsidRPr="00D63229" w:rsidRDefault="00D001EE" w:rsidP="00D63229">
            <w:pPr>
              <w:pStyle w:val="BodyTextGrey"/>
              <w:spacing w:beforeLines="20" w:before="48" w:afterLines="20" w:after="48" w:line="220" w:lineRule="atLeast"/>
              <w:jc w:val="center"/>
              <w:rPr>
                <w:sz w:val="18"/>
                <w:szCs w:val="18"/>
              </w:rPr>
            </w:pPr>
          </w:p>
        </w:tc>
        <w:tc>
          <w:tcPr>
            <w:tcW w:w="1677" w:type="dxa"/>
            <w:tcBorders>
              <w:top w:val="nil"/>
              <w:left w:val="nil"/>
              <w:bottom w:val="nil"/>
              <w:right w:val="nil"/>
            </w:tcBorders>
            <w:shd w:val="clear" w:color="auto" w:fill="D6DDE2" w:themeFill="accent5" w:themeFillTint="33"/>
          </w:tcPr>
          <w:p w14:paraId="4CD6EFF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FT &amp;PT</w:t>
            </w:r>
          </w:p>
        </w:tc>
        <w:tc>
          <w:tcPr>
            <w:tcW w:w="838" w:type="dxa"/>
            <w:tcBorders>
              <w:top w:val="nil"/>
              <w:left w:val="nil"/>
              <w:bottom w:val="nil"/>
              <w:right w:val="nil"/>
            </w:tcBorders>
            <w:shd w:val="clear" w:color="auto" w:fill="D6DDE2" w:themeFill="accent5" w:themeFillTint="33"/>
          </w:tcPr>
          <w:p w14:paraId="6CC1940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FT</w:t>
            </w:r>
          </w:p>
        </w:tc>
        <w:tc>
          <w:tcPr>
            <w:tcW w:w="838" w:type="dxa"/>
            <w:tcBorders>
              <w:top w:val="nil"/>
              <w:left w:val="nil"/>
              <w:bottom w:val="nil"/>
              <w:right w:val="nil"/>
            </w:tcBorders>
            <w:shd w:val="clear" w:color="auto" w:fill="D6DDE2" w:themeFill="accent5" w:themeFillTint="33"/>
          </w:tcPr>
          <w:p w14:paraId="59599A1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PT</w:t>
            </w:r>
          </w:p>
        </w:tc>
        <w:tc>
          <w:tcPr>
            <w:tcW w:w="838" w:type="dxa"/>
            <w:tcBorders>
              <w:top w:val="nil"/>
              <w:left w:val="nil"/>
              <w:bottom w:val="nil"/>
              <w:right w:val="nil"/>
            </w:tcBorders>
            <w:shd w:val="clear" w:color="auto" w:fill="D6DDE2" w:themeFill="accent5" w:themeFillTint="33"/>
          </w:tcPr>
          <w:p w14:paraId="5D78C5B5"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FT</w:t>
            </w:r>
          </w:p>
        </w:tc>
        <w:tc>
          <w:tcPr>
            <w:tcW w:w="839" w:type="dxa"/>
            <w:tcBorders>
              <w:top w:val="nil"/>
              <w:left w:val="nil"/>
              <w:bottom w:val="nil"/>
              <w:right w:val="nil"/>
            </w:tcBorders>
            <w:shd w:val="clear" w:color="auto" w:fill="D6DDE2" w:themeFill="accent5" w:themeFillTint="33"/>
          </w:tcPr>
          <w:p w14:paraId="7D45A5C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PT</w:t>
            </w:r>
          </w:p>
        </w:tc>
        <w:tc>
          <w:tcPr>
            <w:tcW w:w="838" w:type="dxa"/>
            <w:tcBorders>
              <w:top w:val="nil"/>
              <w:left w:val="nil"/>
              <w:bottom w:val="nil"/>
              <w:right w:val="nil"/>
            </w:tcBorders>
            <w:shd w:val="clear" w:color="auto" w:fill="D6DDE2" w:themeFill="accent5" w:themeFillTint="33"/>
          </w:tcPr>
          <w:p w14:paraId="73F62BF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FT</w:t>
            </w:r>
          </w:p>
        </w:tc>
        <w:tc>
          <w:tcPr>
            <w:tcW w:w="839" w:type="dxa"/>
            <w:gridSpan w:val="2"/>
            <w:tcBorders>
              <w:top w:val="nil"/>
              <w:left w:val="nil"/>
              <w:bottom w:val="nil"/>
            </w:tcBorders>
            <w:shd w:val="clear" w:color="auto" w:fill="D6DDE2" w:themeFill="accent5" w:themeFillTint="33"/>
          </w:tcPr>
          <w:p w14:paraId="4600BC9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PT</w:t>
            </w:r>
          </w:p>
        </w:tc>
      </w:tr>
      <w:tr w:rsidR="00D001EE" w:rsidRPr="002C0D40" w14:paraId="332FD0BB" w14:textId="77777777" w:rsidTr="00D076C1">
        <w:tc>
          <w:tcPr>
            <w:tcW w:w="1676" w:type="dxa"/>
            <w:tcBorders>
              <w:top w:val="nil"/>
              <w:bottom w:val="single" w:sz="8" w:space="0" w:color="455560" w:themeColor="accent5"/>
              <w:right w:val="nil"/>
            </w:tcBorders>
          </w:tcPr>
          <w:p w14:paraId="1438498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20</w:t>
            </w:r>
          </w:p>
        </w:tc>
        <w:tc>
          <w:tcPr>
            <w:tcW w:w="1677" w:type="dxa"/>
            <w:tcBorders>
              <w:top w:val="nil"/>
              <w:left w:val="nil"/>
              <w:bottom w:val="single" w:sz="8" w:space="0" w:color="455560" w:themeColor="accent5"/>
              <w:right w:val="nil"/>
            </w:tcBorders>
          </w:tcPr>
          <w:p w14:paraId="4E687CDB"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105</w:t>
            </w:r>
          </w:p>
        </w:tc>
        <w:tc>
          <w:tcPr>
            <w:tcW w:w="1677" w:type="dxa"/>
            <w:tcBorders>
              <w:top w:val="nil"/>
              <w:left w:val="nil"/>
              <w:bottom w:val="single" w:sz="8" w:space="0" w:color="455560" w:themeColor="accent5"/>
              <w:right w:val="nil"/>
            </w:tcBorders>
          </w:tcPr>
          <w:p w14:paraId="198AB0BB"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0.12</w:t>
            </w:r>
          </w:p>
        </w:tc>
        <w:tc>
          <w:tcPr>
            <w:tcW w:w="838" w:type="dxa"/>
            <w:tcBorders>
              <w:top w:val="nil"/>
              <w:left w:val="nil"/>
              <w:bottom w:val="single" w:sz="8" w:space="0" w:color="455560" w:themeColor="accent5"/>
              <w:right w:val="nil"/>
            </w:tcBorders>
          </w:tcPr>
          <w:p w14:paraId="78AAC13C"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227.37</w:t>
            </w:r>
          </w:p>
        </w:tc>
        <w:tc>
          <w:tcPr>
            <w:tcW w:w="838" w:type="dxa"/>
            <w:tcBorders>
              <w:top w:val="nil"/>
              <w:left w:val="nil"/>
              <w:bottom w:val="single" w:sz="8" w:space="0" w:color="455560" w:themeColor="accent5"/>
              <w:right w:val="nil"/>
            </w:tcBorders>
          </w:tcPr>
          <w:p w14:paraId="49C409B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252.63</w:t>
            </w:r>
          </w:p>
        </w:tc>
        <w:tc>
          <w:tcPr>
            <w:tcW w:w="838" w:type="dxa"/>
            <w:tcBorders>
              <w:top w:val="nil"/>
              <w:left w:val="nil"/>
              <w:bottom w:val="single" w:sz="8" w:space="0" w:color="455560" w:themeColor="accent5"/>
              <w:right w:val="nil"/>
            </w:tcBorders>
          </w:tcPr>
          <w:p w14:paraId="00B49E8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0.00</w:t>
            </w:r>
          </w:p>
        </w:tc>
        <w:tc>
          <w:tcPr>
            <w:tcW w:w="839" w:type="dxa"/>
            <w:tcBorders>
              <w:top w:val="nil"/>
              <w:left w:val="nil"/>
              <w:bottom w:val="single" w:sz="8" w:space="0" w:color="455560" w:themeColor="accent5"/>
              <w:right w:val="nil"/>
            </w:tcBorders>
          </w:tcPr>
          <w:p w14:paraId="2C333322"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0.00</w:t>
            </w:r>
          </w:p>
        </w:tc>
        <w:tc>
          <w:tcPr>
            <w:tcW w:w="838" w:type="dxa"/>
            <w:tcBorders>
              <w:top w:val="nil"/>
              <w:left w:val="nil"/>
              <w:bottom w:val="single" w:sz="8" w:space="0" w:color="455560" w:themeColor="accent5"/>
              <w:right w:val="nil"/>
            </w:tcBorders>
          </w:tcPr>
          <w:p w14:paraId="433D63C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0.00</w:t>
            </w:r>
          </w:p>
        </w:tc>
        <w:tc>
          <w:tcPr>
            <w:tcW w:w="839" w:type="dxa"/>
            <w:gridSpan w:val="2"/>
            <w:tcBorders>
              <w:top w:val="nil"/>
              <w:left w:val="nil"/>
              <w:bottom w:val="single" w:sz="8" w:space="0" w:color="455560" w:themeColor="accent5"/>
            </w:tcBorders>
          </w:tcPr>
          <w:p w14:paraId="25290EF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0.00</w:t>
            </w:r>
          </w:p>
        </w:tc>
      </w:tr>
      <w:tr w:rsidR="00D001EE" w:rsidRPr="002C0D40" w14:paraId="163385C2" w14:textId="77777777" w:rsidTr="00D076C1">
        <w:tc>
          <w:tcPr>
            <w:tcW w:w="1676" w:type="dxa"/>
            <w:tcBorders>
              <w:top w:val="single" w:sz="8" w:space="0" w:color="455560" w:themeColor="accent5"/>
              <w:bottom w:val="single" w:sz="8" w:space="0" w:color="455560" w:themeColor="accent5"/>
              <w:right w:val="nil"/>
            </w:tcBorders>
          </w:tcPr>
          <w:p w14:paraId="4C6755D9"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25</w:t>
            </w:r>
          </w:p>
        </w:tc>
        <w:tc>
          <w:tcPr>
            <w:tcW w:w="1677" w:type="dxa"/>
            <w:tcBorders>
              <w:top w:val="single" w:sz="8" w:space="0" w:color="455560" w:themeColor="accent5"/>
              <w:left w:val="nil"/>
              <w:bottom w:val="single" w:sz="8" w:space="0" w:color="455560" w:themeColor="accent5"/>
              <w:right w:val="nil"/>
            </w:tcBorders>
          </w:tcPr>
          <w:p w14:paraId="33553D59"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117</w:t>
            </w:r>
          </w:p>
        </w:tc>
        <w:tc>
          <w:tcPr>
            <w:tcW w:w="1677" w:type="dxa"/>
            <w:tcBorders>
              <w:top w:val="single" w:sz="8" w:space="0" w:color="455560" w:themeColor="accent5"/>
              <w:left w:val="nil"/>
              <w:bottom w:val="single" w:sz="8" w:space="0" w:color="455560" w:themeColor="accent5"/>
              <w:right w:val="nil"/>
            </w:tcBorders>
          </w:tcPr>
          <w:p w14:paraId="681F5F2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0.12</w:t>
            </w:r>
          </w:p>
        </w:tc>
        <w:tc>
          <w:tcPr>
            <w:tcW w:w="838" w:type="dxa"/>
            <w:tcBorders>
              <w:top w:val="single" w:sz="8" w:space="0" w:color="455560" w:themeColor="accent5"/>
              <w:left w:val="nil"/>
              <w:bottom w:val="single" w:sz="8" w:space="0" w:color="455560" w:themeColor="accent5"/>
              <w:right w:val="nil"/>
            </w:tcBorders>
          </w:tcPr>
          <w:p w14:paraId="1692B45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152.99</w:t>
            </w:r>
          </w:p>
        </w:tc>
        <w:tc>
          <w:tcPr>
            <w:tcW w:w="838" w:type="dxa"/>
            <w:tcBorders>
              <w:top w:val="single" w:sz="8" w:space="0" w:color="455560" w:themeColor="accent5"/>
              <w:left w:val="nil"/>
              <w:bottom w:val="single" w:sz="8" w:space="0" w:color="455560" w:themeColor="accent5"/>
              <w:right w:val="nil"/>
            </w:tcBorders>
          </w:tcPr>
          <w:p w14:paraId="151C23A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169.97</w:t>
            </w:r>
          </w:p>
        </w:tc>
        <w:tc>
          <w:tcPr>
            <w:tcW w:w="838" w:type="dxa"/>
            <w:tcBorders>
              <w:top w:val="single" w:sz="8" w:space="0" w:color="455560" w:themeColor="accent5"/>
              <w:left w:val="nil"/>
              <w:bottom w:val="single" w:sz="8" w:space="0" w:color="455560" w:themeColor="accent5"/>
              <w:right w:val="nil"/>
            </w:tcBorders>
          </w:tcPr>
          <w:p w14:paraId="739169A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0.10</w:t>
            </w:r>
          </w:p>
        </w:tc>
        <w:tc>
          <w:tcPr>
            <w:tcW w:w="839" w:type="dxa"/>
            <w:tcBorders>
              <w:top w:val="single" w:sz="8" w:space="0" w:color="455560" w:themeColor="accent5"/>
              <w:left w:val="nil"/>
              <w:bottom w:val="single" w:sz="8" w:space="0" w:color="455560" w:themeColor="accent5"/>
              <w:right w:val="nil"/>
            </w:tcBorders>
          </w:tcPr>
          <w:p w14:paraId="2C901D2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0.07</w:t>
            </w:r>
          </w:p>
        </w:tc>
        <w:tc>
          <w:tcPr>
            <w:tcW w:w="838" w:type="dxa"/>
            <w:tcBorders>
              <w:top w:val="single" w:sz="8" w:space="0" w:color="455560" w:themeColor="accent5"/>
              <w:left w:val="nil"/>
              <w:bottom w:val="single" w:sz="8" w:space="0" w:color="455560" w:themeColor="accent5"/>
              <w:right w:val="nil"/>
            </w:tcBorders>
          </w:tcPr>
          <w:p w14:paraId="2FBABB55"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0.02</w:t>
            </w:r>
          </w:p>
        </w:tc>
        <w:tc>
          <w:tcPr>
            <w:tcW w:w="839" w:type="dxa"/>
            <w:gridSpan w:val="2"/>
            <w:tcBorders>
              <w:top w:val="single" w:sz="8" w:space="0" w:color="455560" w:themeColor="accent5"/>
              <w:left w:val="nil"/>
              <w:bottom w:val="single" w:sz="8" w:space="0" w:color="455560" w:themeColor="accent5"/>
            </w:tcBorders>
          </w:tcPr>
          <w:p w14:paraId="29B169C5"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0.01</w:t>
            </w:r>
          </w:p>
        </w:tc>
      </w:tr>
      <w:tr w:rsidR="00D001EE" w:rsidRPr="002C0D40" w14:paraId="15CF939B" w14:textId="77777777" w:rsidTr="00D076C1">
        <w:tc>
          <w:tcPr>
            <w:tcW w:w="1676" w:type="dxa"/>
            <w:tcBorders>
              <w:top w:val="single" w:sz="8" w:space="0" w:color="455560" w:themeColor="accent5"/>
              <w:bottom w:val="single" w:sz="8" w:space="0" w:color="455560" w:themeColor="accent5"/>
              <w:right w:val="nil"/>
            </w:tcBorders>
          </w:tcPr>
          <w:p w14:paraId="519F192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30</w:t>
            </w:r>
          </w:p>
        </w:tc>
        <w:tc>
          <w:tcPr>
            <w:tcW w:w="1677" w:type="dxa"/>
            <w:tcBorders>
              <w:top w:val="single" w:sz="8" w:space="0" w:color="455560" w:themeColor="accent5"/>
              <w:left w:val="nil"/>
              <w:bottom w:val="single" w:sz="8" w:space="0" w:color="455560" w:themeColor="accent5"/>
              <w:right w:val="nil"/>
            </w:tcBorders>
          </w:tcPr>
          <w:p w14:paraId="5F93BC8F"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131</w:t>
            </w:r>
          </w:p>
        </w:tc>
        <w:tc>
          <w:tcPr>
            <w:tcW w:w="1677" w:type="dxa"/>
            <w:tcBorders>
              <w:top w:val="single" w:sz="8" w:space="0" w:color="455560" w:themeColor="accent5"/>
              <w:left w:val="nil"/>
              <w:bottom w:val="single" w:sz="8" w:space="0" w:color="455560" w:themeColor="accent5"/>
              <w:right w:val="nil"/>
            </w:tcBorders>
          </w:tcPr>
          <w:p w14:paraId="41B5B54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0.18</w:t>
            </w:r>
          </w:p>
        </w:tc>
        <w:tc>
          <w:tcPr>
            <w:tcW w:w="838" w:type="dxa"/>
            <w:tcBorders>
              <w:top w:val="single" w:sz="8" w:space="0" w:color="455560" w:themeColor="accent5"/>
              <w:left w:val="nil"/>
              <w:bottom w:val="single" w:sz="8" w:space="0" w:color="455560" w:themeColor="accent5"/>
              <w:right w:val="nil"/>
            </w:tcBorders>
          </w:tcPr>
          <w:p w14:paraId="72F8643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128.25</w:t>
            </w:r>
          </w:p>
        </w:tc>
        <w:tc>
          <w:tcPr>
            <w:tcW w:w="838" w:type="dxa"/>
            <w:tcBorders>
              <w:top w:val="single" w:sz="8" w:space="0" w:color="455560" w:themeColor="accent5"/>
              <w:left w:val="nil"/>
              <w:bottom w:val="single" w:sz="8" w:space="0" w:color="455560" w:themeColor="accent5"/>
              <w:right w:val="nil"/>
            </w:tcBorders>
          </w:tcPr>
          <w:p w14:paraId="3E2A9D9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142.46</w:t>
            </w:r>
          </w:p>
        </w:tc>
        <w:tc>
          <w:tcPr>
            <w:tcW w:w="838" w:type="dxa"/>
            <w:tcBorders>
              <w:top w:val="single" w:sz="8" w:space="0" w:color="455560" w:themeColor="accent5"/>
              <w:left w:val="nil"/>
              <w:bottom w:val="single" w:sz="8" w:space="0" w:color="455560" w:themeColor="accent5"/>
              <w:right w:val="nil"/>
            </w:tcBorders>
          </w:tcPr>
          <w:p w14:paraId="03ECF93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0.13</w:t>
            </w:r>
          </w:p>
        </w:tc>
        <w:tc>
          <w:tcPr>
            <w:tcW w:w="839" w:type="dxa"/>
            <w:tcBorders>
              <w:top w:val="single" w:sz="8" w:space="0" w:color="455560" w:themeColor="accent5"/>
              <w:left w:val="nil"/>
              <w:bottom w:val="single" w:sz="8" w:space="0" w:color="455560" w:themeColor="accent5"/>
              <w:right w:val="nil"/>
            </w:tcBorders>
          </w:tcPr>
          <w:p w14:paraId="35204A8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0.10</w:t>
            </w:r>
          </w:p>
        </w:tc>
        <w:tc>
          <w:tcPr>
            <w:tcW w:w="838" w:type="dxa"/>
            <w:tcBorders>
              <w:top w:val="single" w:sz="8" w:space="0" w:color="455560" w:themeColor="accent5"/>
              <w:left w:val="nil"/>
              <w:bottom w:val="single" w:sz="8" w:space="0" w:color="455560" w:themeColor="accent5"/>
              <w:right w:val="nil"/>
            </w:tcBorders>
          </w:tcPr>
          <w:p w14:paraId="32D8F23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0.03</w:t>
            </w:r>
          </w:p>
        </w:tc>
        <w:tc>
          <w:tcPr>
            <w:tcW w:w="839" w:type="dxa"/>
            <w:gridSpan w:val="2"/>
            <w:tcBorders>
              <w:top w:val="single" w:sz="8" w:space="0" w:color="455560" w:themeColor="accent5"/>
              <w:left w:val="nil"/>
              <w:bottom w:val="single" w:sz="8" w:space="0" w:color="455560" w:themeColor="accent5"/>
            </w:tcBorders>
          </w:tcPr>
          <w:p w14:paraId="47D01C0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0.02</w:t>
            </w:r>
          </w:p>
        </w:tc>
      </w:tr>
      <w:tr w:rsidR="00D001EE" w:rsidRPr="002C0D40" w14:paraId="313D94CB" w14:textId="77777777" w:rsidTr="00D076C1">
        <w:tc>
          <w:tcPr>
            <w:tcW w:w="1676" w:type="dxa"/>
            <w:tcBorders>
              <w:top w:val="single" w:sz="8" w:space="0" w:color="455560" w:themeColor="accent5"/>
              <w:bottom w:val="single" w:sz="8" w:space="0" w:color="455560" w:themeColor="accent5"/>
              <w:right w:val="nil"/>
            </w:tcBorders>
          </w:tcPr>
          <w:p w14:paraId="575E661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35</w:t>
            </w:r>
          </w:p>
        </w:tc>
        <w:tc>
          <w:tcPr>
            <w:tcW w:w="1677" w:type="dxa"/>
            <w:tcBorders>
              <w:top w:val="single" w:sz="8" w:space="0" w:color="455560" w:themeColor="accent5"/>
              <w:left w:val="nil"/>
              <w:bottom w:val="single" w:sz="8" w:space="0" w:color="455560" w:themeColor="accent5"/>
              <w:right w:val="nil"/>
            </w:tcBorders>
          </w:tcPr>
          <w:p w14:paraId="5B7F76D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144</w:t>
            </w:r>
          </w:p>
        </w:tc>
        <w:tc>
          <w:tcPr>
            <w:tcW w:w="1677" w:type="dxa"/>
            <w:tcBorders>
              <w:top w:val="single" w:sz="8" w:space="0" w:color="455560" w:themeColor="accent5"/>
              <w:left w:val="nil"/>
              <w:bottom w:val="single" w:sz="8" w:space="0" w:color="455560" w:themeColor="accent5"/>
              <w:right w:val="nil"/>
            </w:tcBorders>
          </w:tcPr>
          <w:p w14:paraId="43FE106F"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0.30</w:t>
            </w:r>
          </w:p>
        </w:tc>
        <w:tc>
          <w:tcPr>
            <w:tcW w:w="838" w:type="dxa"/>
            <w:tcBorders>
              <w:top w:val="single" w:sz="8" w:space="0" w:color="455560" w:themeColor="accent5"/>
              <w:left w:val="nil"/>
              <w:bottom w:val="single" w:sz="8" w:space="0" w:color="455560" w:themeColor="accent5"/>
              <w:right w:val="nil"/>
            </w:tcBorders>
          </w:tcPr>
          <w:p w14:paraId="04C94A5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110.69</w:t>
            </w:r>
          </w:p>
        </w:tc>
        <w:tc>
          <w:tcPr>
            <w:tcW w:w="838" w:type="dxa"/>
            <w:tcBorders>
              <w:top w:val="single" w:sz="8" w:space="0" w:color="455560" w:themeColor="accent5"/>
              <w:left w:val="nil"/>
              <w:bottom w:val="single" w:sz="8" w:space="0" w:color="455560" w:themeColor="accent5"/>
              <w:right w:val="nil"/>
            </w:tcBorders>
          </w:tcPr>
          <w:p w14:paraId="3936BC09"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122.91</w:t>
            </w:r>
          </w:p>
        </w:tc>
        <w:tc>
          <w:tcPr>
            <w:tcW w:w="838" w:type="dxa"/>
            <w:tcBorders>
              <w:top w:val="single" w:sz="8" w:space="0" w:color="455560" w:themeColor="accent5"/>
              <w:left w:val="nil"/>
              <w:bottom w:val="single" w:sz="8" w:space="0" w:color="455560" w:themeColor="accent5"/>
              <w:right w:val="nil"/>
            </w:tcBorders>
          </w:tcPr>
          <w:p w14:paraId="03D86E7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0.26</w:t>
            </w:r>
          </w:p>
        </w:tc>
        <w:tc>
          <w:tcPr>
            <w:tcW w:w="839" w:type="dxa"/>
            <w:tcBorders>
              <w:top w:val="single" w:sz="8" w:space="0" w:color="455560" w:themeColor="accent5"/>
              <w:left w:val="nil"/>
              <w:bottom w:val="single" w:sz="8" w:space="0" w:color="455560" w:themeColor="accent5"/>
              <w:right w:val="nil"/>
            </w:tcBorders>
          </w:tcPr>
          <w:p w14:paraId="2113038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0.19</w:t>
            </w:r>
          </w:p>
        </w:tc>
        <w:tc>
          <w:tcPr>
            <w:tcW w:w="838" w:type="dxa"/>
            <w:tcBorders>
              <w:top w:val="single" w:sz="8" w:space="0" w:color="455560" w:themeColor="accent5"/>
              <w:left w:val="nil"/>
              <w:bottom w:val="single" w:sz="8" w:space="0" w:color="455560" w:themeColor="accent5"/>
              <w:right w:val="nil"/>
            </w:tcBorders>
          </w:tcPr>
          <w:p w14:paraId="717C322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0.05</w:t>
            </w:r>
          </w:p>
        </w:tc>
        <w:tc>
          <w:tcPr>
            <w:tcW w:w="839" w:type="dxa"/>
            <w:gridSpan w:val="2"/>
            <w:tcBorders>
              <w:top w:val="single" w:sz="8" w:space="0" w:color="455560" w:themeColor="accent5"/>
              <w:left w:val="nil"/>
              <w:bottom w:val="single" w:sz="8" w:space="0" w:color="455560" w:themeColor="accent5"/>
            </w:tcBorders>
          </w:tcPr>
          <w:p w14:paraId="449C0A22"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0.04</w:t>
            </w:r>
          </w:p>
        </w:tc>
      </w:tr>
      <w:tr w:rsidR="00D001EE" w:rsidRPr="002C0D40" w14:paraId="08A8A0E5" w14:textId="77777777" w:rsidTr="00D076C1">
        <w:tc>
          <w:tcPr>
            <w:tcW w:w="1676" w:type="dxa"/>
            <w:tcBorders>
              <w:top w:val="single" w:sz="8" w:space="0" w:color="455560" w:themeColor="accent5"/>
              <w:bottom w:val="single" w:sz="8" w:space="0" w:color="455560" w:themeColor="accent5"/>
              <w:right w:val="nil"/>
            </w:tcBorders>
          </w:tcPr>
          <w:p w14:paraId="2281EC71"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40</w:t>
            </w:r>
          </w:p>
        </w:tc>
        <w:tc>
          <w:tcPr>
            <w:tcW w:w="1677" w:type="dxa"/>
            <w:tcBorders>
              <w:top w:val="single" w:sz="8" w:space="0" w:color="455560" w:themeColor="accent5"/>
              <w:left w:val="nil"/>
              <w:bottom w:val="single" w:sz="8" w:space="0" w:color="455560" w:themeColor="accent5"/>
              <w:right w:val="nil"/>
            </w:tcBorders>
          </w:tcPr>
          <w:p w14:paraId="6D58637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150</w:t>
            </w:r>
          </w:p>
        </w:tc>
        <w:tc>
          <w:tcPr>
            <w:tcW w:w="1677" w:type="dxa"/>
            <w:tcBorders>
              <w:top w:val="single" w:sz="8" w:space="0" w:color="455560" w:themeColor="accent5"/>
              <w:left w:val="nil"/>
              <w:bottom w:val="single" w:sz="8" w:space="0" w:color="455560" w:themeColor="accent5"/>
              <w:right w:val="nil"/>
            </w:tcBorders>
          </w:tcPr>
          <w:p w14:paraId="72ECEA2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0.48</w:t>
            </w:r>
          </w:p>
        </w:tc>
        <w:tc>
          <w:tcPr>
            <w:tcW w:w="838" w:type="dxa"/>
            <w:tcBorders>
              <w:top w:val="single" w:sz="8" w:space="0" w:color="455560" w:themeColor="accent5"/>
              <w:left w:val="nil"/>
              <w:bottom w:val="single" w:sz="8" w:space="0" w:color="455560" w:themeColor="accent5"/>
              <w:right w:val="nil"/>
            </w:tcBorders>
          </w:tcPr>
          <w:p w14:paraId="05E0BCA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92.12</w:t>
            </w:r>
          </w:p>
        </w:tc>
        <w:tc>
          <w:tcPr>
            <w:tcW w:w="838" w:type="dxa"/>
            <w:tcBorders>
              <w:top w:val="single" w:sz="8" w:space="0" w:color="455560" w:themeColor="accent5"/>
              <w:left w:val="nil"/>
              <w:bottom w:val="single" w:sz="8" w:space="0" w:color="455560" w:themeColor="accent5"/>
              <w:right w:val="nil"/>
            </w:tcBorders>
          </w:tcPr>
          <w:p w14:paraId="19B239B2"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102.26</w:t>
            </w:r>
          </w:p>
        </w:tc>
        <w:tc>
          <w:tcPr>
            <w:tcW w:w="838" w:type="dxa"/>
            <w:tcBorders>
              <w:top w:val="single" w:sz="8" w:space="0" w:color="455560" w:themeColor="accent5"/>
              <w:left w:val="nil"/>
              <w:bottom w:val="single" w:sz="8" w:space="0" w:color="455560" w:themeColor="accent5"/>
              <w:right w:val="nil"/>
            </w:tcBorders>
          </w:tcPr>
          <w:p w14:paraId="655C322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0.39</w:t>
            </w:r>
          </w:p>
        </w:tc>
        <w:tc>
          <w:tcPr>
            <w:tcW w:w="839" w:type="dxa"/>
            <w:tcBorders>
              <w:top w:val="single" w:sz="8" w:space="0" w:color="455560" w:themeColor="accent5"/>
              <w:left w:val="nil"/>
              <w:bottom w:val="single" w:sz="8" w:space="0" w:color="455560" w:themeColor="accent5"/>
              <w:right w:val="nil"/>
            </w:tcBorders>
          </w:tcPr>
          <w:p w14:paraId="1CFC45B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0.29</w:t>
            </w:r>
          </w:p>
        </w:tc>
        <w:tc>
          <w:tcPr>
            <w:tcW w:w="838" w:type="dxa"/>
            <w:tcBorders>
              <w:top w:val="single" w:sz="8" w:space="0" w:color="455560" w:themeColor="accent5"/>
              <w:left w:val="nil"/>
              <w:bottom w:val="single" w:sz="8" w:space="0" w:color="455560" w:themeColor="accent5"/>
              <w:right w:val="nil"/>
            </w:tcBorders>
          </w:tcPr>
          <w:p w14:paraId="150ACDD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0.03</w:t>
            </w:r>
          </w:p>
        </w:tc>
        <w:tc>
          <w:tcPr>
            <w:tcW w:w="839" w:type="dxa"/>
            <w:gridSpan w:val="2"/>
            <w:tcBorders>
              <w:top w:val="single" w:sz="8" w:space="0" w:color="455560" w:themeColor="accent5"/>
              <w:left w:val="nil"/>
              <w:bottom w:val="single" w:sz="8" w:space="0" w:color="455560" w:themeColor="accent5"/>
            </w:tcBorders>
          </w:tcPr>
          <w:p w14:paraId="5A8703C6"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0.02</w:t>
            </w:r>
          </w:p>
        </w:tc>
      </w:tr>
      <w:tr w:rsidR="00D001EE" w:rsidRPr="002C0D40" w14:paraId="4A9AB5FA" w14:textId="77777777" w:rsidTr="00D076C1">
        <w:tc>
          <w:tcPr>
            <w:tcW w:w="1676" w:type="dxa"/>
            <w:tcBorders>
              <w:top w:val="single" w:sz="8" w:space="0" w:color="455560" w:themeColor="accent5"/>
              <w:bottom w:val="single" w:sz="8" w:space="0" w:color="455560" w:themeColor="accent5"/>
              <w:right w:val="nil"/>
            </w:tcBorders>
          </w:tcPr>
          <w:p w14:paraId="48311C2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45</w:t>
            </w:r>
          </w:p>
        </w:tc>
        <w:tc>
          <w:tcPr>
            <w:tcW w:w="1677" w:type="dxa"/>
            <w:tcBorders>
              <w:top w:val="single" w:sz="8" w:space="0" w:color="455560" w:themeColor="accent5"/>
              <w:left w:val="nil"/>
              <w:bottom w:val="single" w:sz="8" w:space="0" w:color="455560" w:themeColor="accent5"/>
              <w:right w:val="nil"/>
            </w:tcBorders>
          </w:tcPr>
          <w:p w14:paraId="1F10D48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155</w:t>
            </w:r>
          </w:p>
        </w:tc>
        <w:tc>
          <w:tcPr>
            <w:tcW w:w="1677" w:type="dxa"/>
            <w:tcBorders>
              <w:top w:val="single" w:sz="8" w:space="0" w:color="455560" w:themeColor="accent5"/>
              <w:left w:val="nil"/>
              <w:bottom w:val="single" w:sz="8" w:space="0" w:color="455560" w:themeColor="accent5"/>
              <w:right w:val="nil"/>
            </w:tcBorders>
          </w:tcPr>
          <w:p w14:paraId="63B66E99"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0.56</w:t>
            </w:r>
          </w:p>
        </w:tc>
        <w:tc>
          <w:tcPr>
            <w:tcW w:w="838" w:type="dxa"/>
            <w:tcBorders>
              <w:top w:val="single" w:sz="8" w:space="0" w:color="455560" w:themeColor="accent5"/>
              <w:left w:val="nil"/>
              <w:bottom w:val="single" w:sz="8" w:space="0" w:color="455560" w:themeColor="accent5"/>
              <w:right w:val="nil"/>
            </w:tcBorders>
          </w:tcPr>
          <w:p w14:paraId="68BDD3D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85.12</w:t>
            </w:r>
          </w:p>
        </w:tc>
        <w:tc>
          <w:tcPr>
            <w:tcW w:w="838" w:type="dxa"/>
            <w:tcBorders>
              <w:top w:val="single" w:sz="8" w:space="0" w:color="455560" w:themeColor="accent5"/>
              <w:left w:val="nil"/>
              <w:bottom w:val="single" w:sz="8" w:space="0" w:color="455560" w:themeColor="accent5"/>
              <w:right w:val="nil"/>
            </w:tcBorders>
          </w:tcPr>
          <w:p w14:paraId="5574233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125.58</w:t>
            </w:r>
          </w:p>
        </w:tc>
        <w:tc>
          <w:tcPr>
            <w:tcW w:w="838" w:type="dxa"/>
            <w:tcBorders>
              <w:top w:val="single" w:sz="8" w:space="0" w:color="455560" w:themeColor="accent5"/>
              <w:left w:val="nil"/>
              <w:bottom w:val="single" w:sz="8" w:space="0" w:color="455560" w:themeColor="accent5"/>
              <w:right w:val="nil"/>
            </w:tcBorders>
          </w:tcPr>
          <w:p w14:paraId="6378AFF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0.55</w:t>
            </w:r>
          </w:p>
        </w:tc>
        <w:tc>
          <w:tcPr>
            <w:tcW w:w="839" w:type="dxa"/>
            <w:tcBorders>
              <w:top w:val="single" w:sz="8" w:space="0" w:color="455560" w:themeColor="accent5"/>
              <w:left w:val="nil"/>
              <w:bottom w:val="single" w:sz="8" w:space="0" w:color="455560" w:themeColor="accent5"/>
              <w:right w:val="nil"/>
            </w:tcBorders>
          </w:tcPr>
          <w:p w14:paraId="2803FB5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0.45</w:t>
            </w:r>
          </w:p>
        </w:tc>
        <w:tc>
          <w:tcPr>
            <w:tcW w:w="838" w:type="dxa"/>
            <w:tcBorders>
              <w:top w:val="single" w:sz="8" w:space="0" w:color="455560" w:themeColor="accent5"/>
              <w:left w:val="nil"/>
              <w:bottom w:val="single" w:sz="8" w:space="0" w:color="455560" w:themeColor="accent5"/>
              <w:right w:val="nil"/>
            </w:tcBorders>
          </w:tcPr>
          <w:p w14:paraId="3BCDF33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0.04</w:t>
            </w:r>
          </w:p>
        </w:tc>
        <w:tc>
          <w:tcPr>
            <w:tcW w:w="839" w:type="dxa"/>
            <w:gridSpan w:val="2"/>
            <w:tcBorders>
              <w:top w:val="single" w:sz="8" w:space="0" w:color="455560" w:themeColor="accent5"/>
              <w:left w:val="nil"/>
              <w:bottom w:val="single" w:sz="8" w:space="0" w:color="455560" w:themeColor="accent5"/>
            </w:tcBorders>
          </w:tcPr>
          <w:p w14:paraId="66F7C70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0.02</w:t>
            </w:r>
          </w:p>
        </w:tc>
      </w:tr>
      <w:tr w:rsidR="00D001EE" w:rsidRPr="002C0D40" w14:paraId="61475ACE" w14:textId="77777777" w:rsidTr="00D076C1">
        <w:tc>
          <w:tcPr>
            <w:tcW w:w="1676" w:type="dxa"/>
            <w:tcBorders>
              <w:top w:val="single" w:sz="8" w:space="0" w:color="455560" w:themeColor="accent5"/>
              <w:bottom w:val="single" w:sz="8" w:space="0" w:color="455560" w:themeColor="accent5"/>
              <w:right w:val="nil"/>
            </w:tcBorders>
          </w:tcPr>
          <w:p w14:paraId="2C440346"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50</w:t>
            </w:r>
          </w:p>
        </w:tc>
        <w:tc>
          <w:tcPr>
            <w:tcW w:w="1677" w:type="dxa"/>
            <w:tcBorders>
              <w:top w:val="single" w:sz="8" w:space="0" w:color="455560" w:themeColor="accent5"/>
              <w:left w:val="nil"/>
              <w:bottom w:val="single" w:sz="8" w:space="0" w:color="455560" w:themeColor="accent5"/>
              <w:right w:val="nil"/>
            </w:tcBorders>
          </w:tcPr>
          <w:p w14:paraId="483E6AE6"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160</w:t>
            </w:r>
          </w:p>
        </w:tc>
        <w:tc>
          <w:tcPr>
            <w:tcW w:w="1677" w:type="dxa"/>
            <w:tcBorders>
              <w:top w:val="single" w:sz="8" w:space="0" w:color="455560" w:themeColor="accent5"/>
              <w:left w:val="nil"/>
              <w:bottom w:val="single" w:sz="8" w:space="0" w:color="455560" w:themeColor="accent5"/>
              <w:right w:val="nil"/>
            </w:tcBorders>
          </w:tcPr>
          <w:p w14:paraId="1D97C48F"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0.59</w:t>
            </w:r>
          </w:p>
        </w:tc>
        <w:tc>
          <w:tcPr>
            <w:tcW w:w="838" w:type="dxa"/>
            <w:tcBorders>
              <w:top w:val="single" w:sz="8" w:space="0" w:color="455560" w:themeColor="accent5"/>
              <w:left w:val="nil"/>
              <w:bottom w:val="single" w:sz="8" w:space="0" w:color="455560" w:themeColor="accent5"/>
              <w:right w:val="nil"/>
            </w:tcBorders>
          </w:tcPr>
          <w:p w14:paraId="625C74F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47.69</w:t>
            </w:r>
          </w:p>
        </w:tc>
        <w:tc>
          <w:tcPr>
            <w:tcW w:w="838" w:type="dxa"/>
            <w:tcBorders>
              <w:top w:val="single" w:sz="8" w:space="0" w:color="455560" w:themeColor="accent5"/>
              <w:left w:val="nil"/>
              <w:bottom w:val="single" w:sz="8" w:space="0" w:color="455560" w:themeColor="accent5"/>
              <w:right w:val="nil"/>
            </w:tcBorders>
          </w:tcPr>
          <w:p w14:paraId="100031D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144.36</w:t>
            </w:r>
          </w:p>
        </w:tc>
        <w:tc>
          <w:tcPr>
            <w:tcW w:w="838" w:type="dxa"/>
            <w:tcBorders>
              <w:top w:val="single" w:sz="8" w:space="0" w:color="455560" w:themeColor="accent5"/>
              <w:left w:val="nil"/>
              <w:bottom w:val="single" w:sz="8" w:space="0" w:color="455560" w:themeColor="accent5"/>
              <w:right w:val="nil"/>
            </w:tcBorders>
          </w:tcPr>
          <w:p w14:paraId="72843C6C"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0.45</w:t>
            </w:r>
          </w:p>
        </w:tc>
        <w:tc>
          <w:tcPr>
            <w:tcW w:w="839" w:type="dxa"/>
            <w:tcBorders>
              <w:top w:val="single" w:sz="8" w:space="0" w:color="455560" w:themeColor="accent5"/>
              <w:left w:val="nil"/>
              <w:bottom w:val="single" w:sz="8" w:space="0" w:color="455560" w:themeColor="accent5"/>
              <w:right w:val="nil"/>
            </w:tcBorders>
          </w:tcPr>
          <w:p w14:paraId="560EF41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0.78</w:t>
            </w:r>
          </w:p>
        </w:tc>
        <w:tc>
          <w:tcPr>
            <w:tcW w:w="838" w:type="dxa"/>
            <w:tcBorders>
              <w:top w:val="single" w:sz="8" w:space="0" w:color="455560" w:themeColor="accent5"/>
              <w:left w:val="nil"/>
              <w:bottom w:val="single" w:sz="8" w:space="0" w:color="455560" w:themeColor="accent5"/>
              <w:right w:val="nil"/>
            </w:tcBorders>
          </w:tcPr>
          <w:p w14:paraId="16B7161C"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0.01</w:t>
            </w:r>
          </w:p>
        </w:tc>
        <w:tc>
          <w:tcPr>
            <w:tcW w:w="839" w:type="dxa"/>
            <w:gridSpan w:val="2"/>
            <w:tcBorders>
              <w:top w:val="single" w:sz="8" w:space="0" w:color="455560" w:themeColor="accent5"/>
              <w:left w:val="nil"/>
              <w:bottom w:val="single" w:sz="8" w:space="0" w:color="455560" w:themeColor="accent5"/>
            </w:tcBorders>
          </w:tcPr>
          <w:p w14:paraId="08D7FE6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0.03</w:t>
            </w:r>
          </w:p>
        </w:tc>
      </w:tr>
      <w:tr w:rsidR="00D001EE" w:rsidRPr="002C0D40" w14:paraId="4A030158" w14:textId="77777777" w:rsidTr="00D076C1">
        <w:tc>
          <w:tcPr>
            <w:tcW w:w="1676" w:type="dxa"/>
            <w:tcBorders>
              <w:top w:val="single" w:sz="8" w:space="0" w:color="455560" w:themeColor="accent5"/>
              <w:bottom w:val="single" w:sz="8" w:space="0" w:color="455560" w:themeColor="accent5"/>
              <w:right w:val="nil"/>
            </w:tcBorders>
          </w:tcPr>
          <w:p w14:paraId="0973832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55</w:t>
            </w:r>
          </w:p>
        </w:tc>
        <w:tc>
          <w:tcPr>
            <w:tcW w:w="1677" w:type="dxa"/>
            <w:tcBorders>
              <w:top w:val="single" w:sz="8" w:space="0" w:color="455560" w:themeColor="accent5"/>
              <w:left w:val="nil"/>
              <w:bottom w:val="single" w:sz="8" w:space="0" w:color="455560" w:themeColor="accent5"/>
              <w:right w:val="nil"/>
            </w:tcBorders>
          </w:tcPr>
          <w:p w14:paraId="2F7C363B"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163</w:t>
            </w:r>
          </w:p>
        </w:tc>
        <w:tc>
          <w:tcPr>
            <w:tcW w:w="1677" w:type="dxa"/>
            <w:tcBorders>
              <w:top w:val="single" w:sz="8" w:space="0" w:color="455560" w:themeColor="accent5"/>
              <w:left w:val="nil"/>
              <w:bottom w:val="single" w:sz="8" w:space="0" w:color="455560" w:themeColor="accent5"/>
              <w:right w:val="nil"/>
            </w:tcBorders>
          </w:tcPr>
          <w:p w14:paraId="4B3949F4"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0.61</w:t>
            </w:r>
          </w:p>
        </w:tc>
        <w:tc>
          <w:tcPr>
            <w:tcW w:w="838" w:type="dxa"/>
            <w:tcBorders>
              <w:top w:val="single" w:sz="8" w:space="0" w:color="455560" w:themeColor="accent5"/>
              <w:left w:val="nil"/>
              <w:bottom w:val="single" w:sz="8" w:space="0" w:color="455560" w:themeColor="accent5"/>
              <w:right w:val="nil"/>
            </w:tcBorders>
          </w:tcPr>
          <w:p w14:paraId="6FD6EB4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265.23</w:t>
            </w:r>
          </w:p>
        </w:tc>
        <w:tc>
          <w:tcPr>
            <w:tcW w:w="838" w:type="dxa"/>
            <w:tcBorders>
              <w:top w:val="single" w:sz="8" w:space="0" w:color="455560" w:themeColor="accent5"/>
              <w:left w:val="nil"/>
              <w:bottom w:val="single" w:sz="8" w:space="0" w:color="455560" w:themeColor="accent5"/>
              <w:right w:val="nil"/>
            </w:tcBorders>
          </w:tcPr>
          <w:p w14:paraId="230D1A9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145.20</w:t>
            </w:r>
          </w:p>
        </w:tc>
        <w:tc>
          <w:tcPr>
            <w:tcW w:w="838" w:type="dxa"/>
            <w:tcBorders>
              <w:top w:val="single" w:sz="8" w:space="0" w:color="455560" w:themeColor="accent5"/>
              <w:left w:val="nil"/>
              <w:bottom w:val="single" w:sz="8" w:space="0" w:color="455560" w:themeColor="accent5"/>
              <w:right w:val="nil"/>
            </w:tcBorders>
          </w:tcPr>
          <w:p w14:paraId="48C239B8"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0.69</w:t>
            </w:r>
          </w:p>
        </w:tc>
        <w:tc>
          <w:tcPr>
            <w:tcW w:w="839" w:type="dxa"/>
            <w:tcBorders>
              <w:top w:val="single" w:sz="8" w:space="0" w:color="455560" w:themeColor="accent5"/>
              <w:left w:val="nil"/>
              <w:bottom w:val="single" w:sz="8" w:space="0" w:color="455560" w:themeColor="accent5"/>
              <w:right w:val="nil"/>
            </w:tcBorders>
          </w:tcPr>
          <w:p w14:paraId="5E2D3563"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0.48</w:t>
            </w:r>
          </w:p>
        </w:tc>
        <w:tc>
          <w:tcPr>
            <w:tcW w:w="838" w:type="dxa"/>
            <w:tcBorders>
              <w:top w:val="single" w:sz="8" w:space="0" w:color="455560" w:themeColor="accent5"/>
              <w:left w:val="nil"/>
              <w:bottom w:val="single" w:sz="8" w:space="0" w:color="455560" w:themeColor="accent5"/>
              <w:right w:val="nil"/>
            </w:tcBorders>
          </w:tcPr>
          <w:p w14:paraId="0766063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0.05</w:t>
            </w:r>
          </w:p>
        </w:tc>
        <w:tc>
          <w:tcPr>
            <w:tcW w:w="839" w:type="dxa"/>
            <w:gridSpan w:val="2"/>
            <w:tcBorders>
              <w:top w:val="single" w:sz="8" w:space="0" w:color="455560" w:themeColor="accent5"/>
              <w:left w:val="nil"/>
              <w:bottom w:val="single" w:sz="8" w:space="0" w:color="455560" w:themeColor="accent5"/>
            </w:tcBorders>
          </w:tcPr>
          <w:p w14:paraId="7009FB85"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0.03</w:t>
            </w:r>
          </w:p>
        </w:tc>
      </w:tr>
      <w:tr w:rsidR="00D001EE" w:rsidRPr="002C0D40" w14:paraId="7418E8EA" w14:textId="77777777" w:rsidTr="00D076C1">
        <w:tc>
          <w:tcPr>
            <w:tcW w:w="1676" w:type="dxa"/>
            <w:tcBorders>
              <w:top w:val="single" w:sz="8" w:space="0" w:color="455560" w:themeColor="accent5"/>
              <w:bottom w:val="nil"/>
              <w:right w:val="nil"/>
            </w:tcBorders>
          </w:tcPr>
          <w:p w14:paraId="705779B0"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60</w:t>
            </w:r>
          </w:p>
        </w:tc>
        <w:tc>
          <w:tcPr>
            <w:tcW w:w="1677" w:type="dxa"/>
            <w:tcBorders>
              <w:top w:val="single" w:sz="8" w:space="0" w:color="455560" w:themeColor="accent5"/>
              <w:left w:val="nil"/>
              <w:bottom w:val="nil"/>
              <w:right w:val="nil"/>
            </w:tcBorders>
          </w:tcPr>
          <w:p w14:paraId="66E4444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170</w:t>
            </w:r>
          </w:p>
        </w:tc>
        <w:tc>
          <w:tcPr>
            <w:tcW w:w="1677" w:type="dxa"/>
            <w:tcBorders>
              <w:top w:val="single" w:sz="8" w:space="0" w:color="455560" w:themeColor="accent5"/>
              <w:left w:val="nil"/>
              <w:bottom w:val="nil"/>
              <w:right w:val="nil"/>
            </w:tcBorders>
          </w:tcPr>
          <w:p w14:paraId="5E1C54FF"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0.68</w:t>
            </w:r>
          </w:p>
        </w:tc>
        <w:tc>
          <w:tcPr>
            <w:tcW w:w="838" w:type="dxa"/>
            <w:tcBorders>
              <w:top w:val="single" w:sz="8" w:space="0" w:color="455560" w:themeColor="accent5"/>
              <w:left w:val="nil"/>
              <w:bottom w:val="nil"/>
              <w:right w:val="nil"/>
            </w:tcBorders>
          </w:tcPr>
          <w:p w14:paraId="7FF5A87A"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185.63</w:t>
            </w:r>
          </w:p>
        </w:tc>
        <w:tc>
          <w:tcPr>
            <w:tcW w:w="838" w:type="dxa"/>
            <w:tcBorders>
              <w:top w:val="single" w:sz="8" w:space="0" w:color="455560" w:themeColor="accent5"/>
              <w:left w:val="nil"/>
              <w:bottom w:val="nil"/>
              <w:right w:val="nil"/>
            </w:tcBorders>
          </w:tcPr>
          <w:p w14:paraId="0E4D5B77"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147.36</w:t>
            </w:r>
          </w:p>
        </w:tc>
        <w:tc>
          <w:tcPr>
            <w:tcW w:w="838" w:type="dxa"/>
            <w:tcBorders>
              <w:top w:val="single" w:sz="8" w:space="0" w:color="455560" w:themeColor="accent5"/>
              <w:left w:val="nil"/>
              <w:bottom w:val="nil"/>
              <w:right w:val="nil"/>
            </w:tcBorders>
          </w:tcPr>
          <w:p w14:paraId="48BAA38B"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0.87</w:t>
            </w:r>
          </w:p>
        </w:tc>
        <w:tc>
          <w:tcPr>
            <w:tcW w:w="839" w:type="dxa"/>
            <w:tcBorders>
              <w:top w:val="single" w:sz="8" w:space="0" w:color="455560" w:themeColor="accent5"/>
              <w:left w:val="nil"/>
              <w:bottom w:val="nil"/>
              <w:right w:val="nil"/>
            </w:tcBorders>
          </w:tcPr>
          <w:p w14:paraId="3B20F7FE"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0.96</w:t>
            </w:r>
          </w:p>
        </w:tc>
        <w:tc>
          <w:tcPr>
            <w:tcW w:w="838" w:type="dxa"/>
            <w:tcBorders>
              <w:top w:val="single" w:sz="8" w:space="0" w:color="455560" w:themeColor="accent5"/>
              <w:left w:val="nil"/>
              <w:bottom w:val="nil"/>
              <w:right w:val="nil"/>
            </w:tcBorders>
          </w:tcPr>
          <w:p w14:paraId="7AD6A5B5"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0.02</w:t>
            </w:r>
          </w:p>
        </w:tc>
        <w:tc>
          <w:tcPr>
            <w:tcW w:w="839" w:type="dxa"/>
            <w:gridSpan w:val="2"/>
            <w:tcBorders>
              <w:top w:val="single" w:sz="8" w:space="0" w:color="455560" w:themeColor="accent5"/>
              <w:left w:val="nil"/>
              <w:bottom w:val="nil"/>
            </w:tcBorders>
          </w:tcPr>
          <w:p w14:paraId="17A01A2D" w14:textId="77777777" w:rsidR="00D001EE" w:rsidRPr="002C0D40" w:rsidRDefault="00D001EE" w:rsidP="00D63229">
            <w:pPr>
              <w:pStyle w:val="BodyTextGrey"/>
              <w:spacing w:beforeLines="20" w:before="48" w:afterLines="20" w:after="48" w:line="220" w:lineRule="atLeast"/>
              <w:jc w:val="center"/>
              <w:rPr>
                <w:sz w:val="18"/>
                <w:szCs w:val="18"/>
              </w:rPr>
            </w:pPr>
            <w:r w:rsidRPr="002C0D40">
              <w:rPr>
                <w:sz w:val="18"/>
                <w:szCs w:val="18"/>
              </w:rPr>
              <w:t>0.01</w:t>
            </w:r>
          </w:p>
        </w:tc>
      </w:tr>
    </w:tbl>
    <w:p w14:paraId="63FA35F0" w14:textId="77777777" w:rsidR="00D001EE" w:rsidRPr="002C0D40" w:rsidRDefault="00D001EE" w:rsidP="00447771">
      <w:pPr>
        <w:pStyle w:val="BodyTextGrey"/>
        <w:rPr>
          <w:b/>
          <w:iCs w:val="0"/>
        </w:rPr>
      </w:pPr>
    </w:p>
    <w:p w14:paraId="4AF494BF" w14:textId="7E36CA34" w:rsidR="00ED2E34" w:rsidRPr="002C0D40" w:rsidRDefault="00447771" w:rsidP="004F5C25">
      <w:pPr>
        <w:pStyle w:val="Heading3"/>
      </w:pPr>
      <w:bookmarkStart w:id="147" w:name="_Toc86162892"/>
      <w:r w:rsidRPr="002C0D40">
        <w:rPr>
          <w:rStyle w:val="Heading4Char"/>
          <w:b/>
          <w:iCs/>
          <w:color w:val="455560" w:themeColor="accent5"/>
        </w:rPr>
        <w:t>Females</w:t>
      </w:r>
      <w:bookmarkEnd w:id="147"/>
    </w:p>
    <w:tbl>
      <w:tblPr>
        <w:tblStyle w:val="TableGrid"/>
        <w:tblW w:w="10060" w:type="dxa"/>
        <w:tblBorders>
          <w:top w:val="none" w:sz="0" w:space="0" w:color="auto"/>
          <w:left w:val="none" w:sz="0" w:space="0" w:color="auto"/>
          <w:bottom w:val="none" w:sz="0" w:space="0" w:color="auto"/>
          <w:right w:val="none" w:sz="0" w:space="0" w:color="auto"/>
          <w:insideH w:val="single" w:sz="4" w:space="0" w:color="455560" w:themeColor="accent5"/>
          <w:insideV w:val="none" w:sz="0" w:space="0" w:color="auto"/>
        </w:tblBorders>
        <w:tblLook w:val="04A0" w:firstRow="1" w:lastRow="0" w:firstColumn="1" w:lastColumn="0" w:noHBand="0" w:noVBand="1"/>
      </w:tblPr>
      <w:tblGrid>
        <w:gridCol w:w="1676"/>
        <w:gridCol w:w="1677"/>
        <w:gridCol w:w="1677"/>
        <w:gridCol w:w="838"/>
        <w:gridCol w:w="838"/>
        <w:gridCol w:w="838"/>
        <w:gridCol w:w="839"/>
        <w:gridCol w:w="838"/>
        <w:gridCol w:w="832"/>
        <w:gridCol w:w="7"/>
      </w:tblGrid>
      <w:tr w:rsidR="00D63229" w:rsidRPr="002C0D40" w14:paraId="4F575DCD" w14:textId="77777777" w:rsidTr="00773FF9">
        <w:trPr>
          <w:gridAfter w:val="1"/>
          <w:wAfter w:w="7" w:type="dxa"/>
        </w:trPr>
        <w:tc>
          <w:tcPr>
            <w:tcW w:w="10053" w:type="dxa"/>
            <w:gridSpan w:val="9"/>
            <w:tcBorders>
              <w:top w:val="nil"/>
              <w:bottom w:val="nil"/>
            </w:tcBorders>
            <w:shd w:val="clear" w:color="auto" w:fill="455560" w:themeFill="accent5"/>
          </w:tcPr>
          <w:p w14:paraId="044E6A79" w14:textId="7E23F11B" w:rsidR="00D63229" w:rsidRPr="002C0D40" w:rsidRDefault="00D63229" w:rsidP="00773FF9">
            <w:pPr>
              <w:pStyle w:val="BodyTextGrey"/>
              <w:spacing w:beforeLines="20" w:before="48" w:afterLines="20" w:after="48" w:line="220" w:lineRule="atLeast"/>
              <w:jc w:val="center"/>
              <w:rPr>
                <w:b/>
                <w:bCs/>
                <w:sz w:val="18"/>
                <w:szCs w:val="18"/>
              </w:rPr>
            </w:pPr>
            <w:r w:rsidRPr="002C0D40">
              <w:rPr>
                <w:b/>
                <w:bCs/>
                <w:color w:val="FFFFFF" w:themeColor="text2"/>
                <w:sz w:val="18"/>
                <w:szCs w:val="18"/>
              </w:rPr>
              <w:t xml:space="preserve">Incidence per 1000 active members per </w:t>
            </w:r>
            <w:r w:rsidR="00EB3BD4" w:rsidRPr="002C0D40">
              <w:rPr>
                <w:b/>
                <w:bCs/>
                <w:color w:val="FFFFFF" w:themeColor="text2"/>
                <w:sz w:val="18"/>
                <w:szCs w:val="18"/>
              </w:rPr>
              <w:t>year</w:t>
            </w:r>
          </w:p>
        </w:tc>
      </w:tr>
      <w:tr w:rsidR="00D63229" w:rsidRPr="002C0D40" w14:paraId="3ACA04FA" w14:textId="77777777" w:rsidTr="00773FF9">
        <w:tc>
          <w:tcPr>
            <w:tcW w:w="1676" w:type="dxa"/>
            <w:tcBorders>
              <w:top w:val="nil"/>
              <w:bottom w:val="nil"/>
              <w:right w:val="nil"/>
            </w:tcBorders>
            <w:shd w:val="clear" w:color="auto" w:fill="869AA8" w:themeFill="accent5" w:themeFillTint="99"/>
          </w:tcPr>
          <w:p w14:paraId="65B66400" w14:textId="77777777"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Age</w:t>
            </w:r>
          </w:p>
        </w:tc>
        <w:tc>
          <w:tcPr>
            <w:tcW w:w="1677" w:type="dxa"/>
            <w:tcBorders>
              <w:top w:val="nil"/>
              <w:left w:val="nil"/>
              <w:bottom w:val="nil"/>
              <w:right w:val="nil"/>
            </w:tcBorders>
            <w:shd w:val="clear" w:color="auto" w:fill="869AA8" w:themeFill="accent5" w:themeFillTint="99"/>
          </w:tcPr>
          <w:p w14:paraId="21274EBC" w14:textId="43E5A3F3"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 xml:space="preserve">Salary </w:t>
            </w:r>
            <w:r w:rsidR="00EB3BD4" w:rsidRPr="002C0D40">
              <w:rPr>
                <w:b/>
                <w:bCs/>
                <w:color w:val="FFFFFF" w:themeColor="text2"/>
                <w:sz w:val="18"/>
                <w:szCs w:val="18"/>
              </w:rPr>
              <w:t>s</w:t>
            </w:r>
            <w:r w:rsidRPr="002C0D40">
              <w:rPr>
                <w:b/>
                <w:bCs/>
                <w:color w:val="FFFFFF" w:themeColor="text2"/>
                <w:sz w:val="18"/>
                <w:szCs w:val="18"/>
              </w:rPr>
              <w:t>cale</w:t>
            </w:r>
          </w:p>
        </w:tc>
        <w:tc>
          <w:tcPr>
            <w:tcW w:w="1677" w:type="dxa"/>
            <w:tcBorders>
              <w:top w:val="nil"/>
              <w:left w:val="nil"/>
              <w:bottom w:val="nil"/>
              <w:right w:val="nil"/>
            </w:tcBorders>
            <w:shd w:val="clear" w:color="auto" w:fill="869AA8" w:themeFill="accent5" w:themeFillTint="99"/>
          </w:tcPr>
          <w:p w14:paraId="7C044A00" w14:textId="77777777"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Death before retirement</w:t>
            </w:r>
          </w:p>
        </w:tc>
        <w:tc>
          <w:tcPr>
            <w:tcW w:w="1676" w:type="dxa"/>
            <w:gridSpan w:val="2"/>
            <w:tcBorders>
              <w:top w:val="nil"/>
              <w:left w:val="nil"/>
              <w:bottom w:val="nil"/>
              <w:right w:val="nil"/>
            </w:tcBorders>
            <w:shd w:val="clear" w:color="auto" w:fill="869AA8" w:themeFill="accent5" w:themeFillTint="99"/>
          </w:tcPr>
          <w:p w14:paraId="4B97DBAF" w14:textId="77777777"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Withdrawals</w:t>
            </w:r>
          </w:p>
        </w:tc>
        <w:tc>
          <w:tcPr>
            <w:tcW w:w="1677" w:type="dxa"/>
            <w:gridSpan w:val="2"/>
            <w:tcBorders>
              <w:top w:val="nil"/>
              <w:left w:val="nil"/>
              <w:bottom w:val="nil"/>
              <w:right w:val="nil"/>
            </w:tcBorders>
            <w:shd w:val="clear" w:color="auto" w:fill="869AA8" w:themeFill="accent5" w:themeFillTint="99"/>
          </w:tcPr>
          <w:p w14:paraId="1BD3A1D1" w14:textId="43792B23"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Ill</w:t>
            </w:r>
            <w:r w:rsidR="00EB3BD4" w:rsidRPr="002C0D40">
              <w:rPr>
                <w:b/>
                <w:bCs/>
                <w:color w:val="FFFFFF" w:themeColor="text2"/>
                <w:sz w:val="18"/>
                <w:szCs w:val="18"/>
              </w:rPr>
              <w:t>-h</w:t>
            </w:r>
            <w:r w:rsidRPr="002C0D40">
              <w:rPr>
                <w:b/>
                <w:bCs/>
                <w:color w:val="FFFFFF" w:themeColor="text2"/>
                <w:sz w:val="18"/>
                <w:szCs w:val="18"/>
              </w:rPr>
              <w:t xml:space="preserve">ealth </w:t>
            </w:r>
            <w:r w:rsidR="00EB3BD4" w:rsidRPr="002C0D40">
              <w:rPr>
                <w:b/>
                <w:bCs/>
                <w:color w:val="FFFFFF" w:themeColor="text2"/>
                <w:sz w:val="18"/>
                <w:szCs w:val="18"/>
              </w:rPr>
              <w:t>t</w:t>
            </w:r>
            <w:r w:rsidRPr="002C0D40">
              <w:rPr>
                <w:b/>
                <w:bCs/>
                <w:color w:val="FFFFFF" w:themeColor="text2"/>
                <w:sz w:val="18"/>
                <w:szCs w:val="18"/>
              </w:rPr>
              <w:t>ier 1</w:t>
            </w:r>
          </w:p>
        </w:tc>
        <w:tc>
          <w:tcPr>
            <w:tcW w:w="1677" w:type="dxa"/>
            <w:gridSpan w:val="3"/>
            <w:tcBorders>
              <w:top w:val="nil"/>
              <w:left w:val="nil"/>
              <w:bottom w:val="nil"/>
            </w:tcBorders>
            <w:shd w:val="clear" w:color="auto" w:fill="869AA8" w:themeFill="accent5" w:themeFillTint="99"/>
          </w:tcPr>
          <w:p w14:paraId="20F38F37" w14:textId="243D933A" w:rsidR="00D63229" w:rsidRPr="002C0D40" w:rsidRDefault="00D63229" w:rsidP="00773FF9">
            <w:pPr>
              <w:pStyle w:val="BodyTextGrey"/>
              <w:spacing w:beforeLines="20" w:before="48" w:afterLines="20" w:after="48" w:line="220" w:lineRule="atLeast"/>
              <w:jc w:val="center"/>
              <w:rPr>
                <w:b/>
                <w:bCs/>
                <w:color w:val="FFFFFF" w:themeColor="text2"/>
                <w:sz w:val="18"/>
                <w:szCs w:val="18"/>
              </w:rPr>
            </w:pPr>
            <w:r w:rsidRPr="002C0D40">
              <w:rPr>
                <w:b/>
                <w:bCs/>
                <w:color w:val="FFFFFF" w:themeColor="text2"/>
                <w:sz w:val="18"/>
                <w:szCs w:val="18"/>
              </w:rPr>
              <w:t>Ill</w:t>
            </w:r>
            <w:r w:rsidR="00EB3BD4" w:rsidRPr="002C0D40">
              <w:rPr>
                <w:b/>
                <w:bCs/>
                <w:color w:val="FFFFFF" w:themeColor="text2"/>
                <w:sz w:val="18"/>
                <w:szCs w:val="18"/>
              </w:rPr>
              <w:t>-h</w:t>
            </w:r>
            <w:r w:rsidRPr="002C0D40">
              <w:rPr>
                <w:b/>
                <w:bCs/>
                <w:color w:val="FFFFFF" w:themeColor="text2"/>
                <w:sz w:val="18"/>
                <w:szCs w:val="18"/>
              </w:rPr>
              <w:t xml:space="preserve">ealth </w:t>
            </w:r>
            <w:r w:rsidR="00EB3BD4" w:rsidRPr="002C0D40">
              <w:rPr>
                <w:b/>
                <w:bCs/>
                <w:color w:val="FFFFFF" w:themeColor="text2"/>
                <w:sz w:val="18"/>
                <w:szCs w:val="18"/>
              </w:rPr>
              <w:t>t</w:t>
            </w:r>
            <w:r w:rsidRPr="002C0D40">
              <w:rPr>
                <w:b/>
                <w:bCs/>
                <w:color w:val="FFFFFF" w:themeColor="text2"/>
                <w:sz w:val="18"/>
                <w:szCs w:val="18"/>
              </w:rPr>
              <w:t>ier 2</w:t>
            </w:r>
          </w:p>
        </w:tc>
      </w:tr>
      <w:tr w:rsidR="00CC4E3B" w:rsidRPr="002C0D40" w14:paraId="25E19F7E" w14:textId="77777777" w:rsidTr="00773FF9">
        <w:tc>
          <w:tcPr>
            <w:tcW w:w="1676" w:type="dxa"/>
            <w:tcBorders>
              <w:top w:val="nil"/>
              <w:bottom w:val="nil"/>
              <w:right w:val="nil"/>
            </w:tcBorders>
            <w:shd w:val="clear" w:color="auto" w:fill="D6DDE2" w:themeFill="accent5" w:themeFillTint="33"/>
          </w:tcPr>
          <w:p w14:paraId="732DB60C" w14:textId="77777777" w:rsidR="00D63229" w:rsidRPr="002C0D40" w:rsidRDefault="00D63229" w:rsidP="00773FF9">
            <w:pPr>
              <w:pStyle w:val="BodyTextGrey"/>
              <w:spacing w:beforeLines="20" w:before="48" w:afterLines="20" w:after="48" w:line="220" w:lineRule="atLeast"/>
              <w:jc w:val="center"/>
              <w:rPr>
                <w:sz w:val="18"/>
                <w:szCs w:val="18"/>
              </w:rPr>
            </w:pPr>
          </w:p>
        </w:tc>
        <w:tc>
          <w:tcPr>
            <w:tcW w:w="1677" w:type="dxa"/>
            <w:tcBorders>
              <w:top w:val="nil"/>
              <w:left w:val="nil"/>
              <w:bottom w:val="nil"/>
              <w:right w:val="nil"/>
            </w:tcBorders>
            <w:shd w:val="clear" w:color="auto" w:fill="D6DDE2" w:themeFill="accent5" w:themeFillTint="33"/>
          </w:tcPr>
          <w:p w14:paraId="3BADD249" w14:textId="77777777" w:rsidR="00D63229" w:rsidRPr="002C0D40" w:rsidRDefault="00D63229" w:rsidP="00773FF9">
            <w:pPr>
              <w:pStyle w:val="BodyTextGrey"/>
              <w:spacing w:beforeLines="20" w:before="48" w:afterLines="20" w:after="48" w:line="220" w:lineRule="atLeast"/>
              <w:jc w:val="center"/>
              <w:rPr>
                <w:sz w:val="18"/>
                <w:szCs w:val="18"/>
              </w:rPr>
            </w:pPr>
          </w:p>
        </w:tc>
        <w:tc>
          <w:tcPr>
            <w:tcW w:w="1677" w:type="dxa"/>
            <w:tcBorders>
              <w:top w:val="nil"/>
              <w:left w:val="nil"/>
              <w:bottom w:val="nil"/>
              <w:right w:val="nil"/>
            </w:tcBorders>
            <w:shd w:val="clear" w:color="auto" w:fill="D6DDE2" w:themeFill="accent5" w:themeFillTint="33"/>
          </w:tcPr>
          <w:p w14:paraId="166911F7"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FT &amp;PT</w:t>
            </w:r>
          </w:p>
        </w:tc>
        <w:tc>
          <w:tcPr>
            <w:tcW w:w="838" w:type="dxa"/>
            <w:tcBorders>
              <w:top w:val="nil"/>
              <w:left w:val="nil"/>
              <w:bottom w:val="nil"/>
              <w:right w:val="nil"/>
            </w:tcBorders>
            <w:shd w:val="clear" w:color="auto" w:fill="D6DDE2" w:themeFill="accent5" w:themeFillTint="33"/>
          </w:tcPr>
          <w:p w14:paraId="57E2E33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FT</w:t>
            </w:r>
          </w:p>
        </w:tc>
        <w:tc>
          <w:tcPr>
            <w:tcW w:w="838" w:type="dxa"/>
            <w:tcBorders>
              <w:top w:val="nil"/>
              <w:left w:val="nil"/>
              <w:bottom w:val="nil"/>
              <w:right w:val="nil"/>
            </w:tcBorders>
            <w:shd w:val="clear" w:color="auto" w:fill="D6DDE2" w:themeFill="accent5" w:themeFillTint="33"/>
          </w:tcPr>
          <w:p w14:paraId="3634389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PT</w:t>
            </w:r>
          </w:p>
        </w:tc>
        <w:tc>
          <w:tcPr>
            <w:tcW w:w="838" w:type="dxa"/>
            <w:tcBorders>
              <w:top w:val="nil"/>
              <w:left w:val="nil"/>
              <w:bottom w:val="nil"/>
              <w:right w:val="nil"/>
            </w:tcBorders>
            <w:shd w:val="clear" w:color="auto" w:fill="D6DDE2" w:themeFill="accent5" w:themeFillTint="33"/>
          </w:tcPr>
          <w:p w14:paraId="0C6C7AE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FT</w:t>
            </w:r>
          </w:p>
        </w:tc>
        <w:tc>
          <w:tcPr>
            <w:tcW w:w="839" w:type="dxa"/>
            <w:tcBorders>
              <w:top w:val="nil"/>
              <w:left w:val="nil"/>
              <w:bottom w:val="nil"/>
              <w:right w:val="nil"/>
            </w:tcBorders>
            <w:shd w:val="clear" w:color="auto" w:fill="D6DDE2" w:themeFill="accent5" w:themeFillTint="33"/>
          </w:tcPr>
          <w:p w14:paraId="38B40600"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PT</w:t>
            </w:r>
          </w:p>
        </w:tc>
        <w:tc>
          <w:tcPr>
            <w:tcW w:w="838" w:type="dxa"/>
            <w:tcBorders>
              <w:top w:val="nil"/>
              <w:left w:val="nil"/>
              <w:bottom w:val="nil"/>
              <w:right w:val="nil"/>
            </w:tcBorders>
            <w:shd w:val="clear" w:color="auto" w:fill="D6DDE2" w:themeFill="accent5" w:themeFillTint="33"/>
          </w:tcPr>
          <w:p w14:paraId="6D57012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FT</w:t>
            </w:r>
          </w:p>
        </w:tc>
        <w:tc>
          <w:tcPr>
            <w:tcW w:w="839" w:type="dxa"/>
            <w:gridSpan w:val="2"/>
            <w:tcBorders>
              <w:top w:val="nil"/>
              <w:left w:val="nil"/>
              <w:bottom w:val="nil"/>
            </w:tcBorders>
            <w:shd w:val="clear" w:color="auto" w:fill="D6DDE2" w:themeFill="accent5" w:themeFillTint="33"/>
          </w:tcPr>
          <w:p w14:paraId="3DD4C04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PT</w:t>
            </w:r>
          </w:p>
        </w:tc>
      </w:tr>
      <w:tr w:rsidR="00D63229" w:rsidRPr="002C0D40" w14:paraId="15AA6A4E" w14:textId="77777777" w:rsidTr="00773FF9">
        <w:tc>
          <w:tcPr>
            <w:tcW w:w="1676" w:type="dxa"/>
            <w:tcBorders>
              <w:top w:val="nil"/>
              <w:bottom w:val="single" w:sz="8" w:space="0" w:color="455560" w:themeColor="accent5"/>
              <w:right w:val="nil"/>
            </w:tcBorders>
          </w:tcPr>
          <w:p w14:paraId="5BB0589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20</w:t>
            </w:r>
          </w:p>
        </w:tc>
        <w:tc>
          <w:tcPr>
            <w:tcW w:w="1677" w:type="dxa"/>
            <w:tcBorders>
              <w:top w:val="nil"/>
              <w:left w:val="nil"/>
              <w:bottom w:val="single" w:sz="8" w:space="0" w:color="455560" w:themeColor="accent5"/>
              <w:right w:val="nil"/>
            </w:tcBorders>
          </w:tcPr>
          <w:p w14:paraId="1744C047"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105</w:t>
            </w:r>
          </w:p>
        </w:tc>
        <w:tc>
          <w:tcPr>
            <w:tcW w:w="1677" w:type="dxa"/>
            <w:tcBorders>
              <w:top w:val="nil"/>
              <w:left w:val="nil"/>
              <w:bottom w:val="single" w:sz="8" w:space="0" w:color="455560" w:themeColor="accent5"/>
              <w:right w:val="nil"/>
            </w:tcBorders>
          </w:tcPr>
          <w:p w14:paraId="43912894"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0.12</w:t>
            </w:r>
          </w:p>
        </w:tc>
        <w:tc>
          <w:tcPr>
            <w:tcW w:w="838" w:type="dxa"/>
            <w:tcBorders>
              <w:top w:val="nil"/>
              <w:left w:val="nil"/>
              <w:bottom w:val="single" w:sz="8" w:space="0" w:color="455560" w:themeColor="accent5"/>
              <w:right w:val="nil"/>
            </w:tcBorders>
          </w:tcPr>
          <w:p w14:paraId="32CE85D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227.37</w:t>
            </w:r>
          </w:p>
        </w:tc>
        <w:tc>
          <w:tcPr>
            <w:tcW w:w="838" w:type="dxa"/>
            <w:tcBorders>
              <w:top w:val="nil"/>
              <w:left w:val="nil"/>
              <w:bottom w:val="single" w:sz="8" w:space="0" w:color="455560" w:themeColor="accent5"/>
              <w:right w:val="nil"/>
            </w:tcBorders>
          </w:tcPr>
          <w:p w14:paraId="37F24FC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252.63</w:t>
            </w:r>
          </w:p>
        </w:tc>
        <w:tc>
          <w:tcPr>
            <w:tcW w:w="838" w:type="dxa"/>
            <w:tcBorders>
              <w:top w:val="nil"/>
              <w:left w:val="nil"/>
              <w:bottom w:val="single" w:sz="8" w:space="0" w:color="455560" w:themeColor="accent5"/>
              <w:right w:val="nil"/>
            </w:tcBorders>
          </w:tcPr>
          <w:p w14:paraId="65EBF6C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0.00</w:t>
            </w:r>
          </w:p>
        </w:tc>
        <w:tc>
          <w:tcPr>
            <w:tcW w:w="839" w:type="dxa"/>
            <w:tcBorders>
              <w:top w:val="nil"/>
              <w:left w:val="nil"/>
              <w:bottom w:val="single" w:sz="8" w:space="0" w:color="455560" w:themeColor="accent5"/>
              <w:right w:val="nil"/>
            </w:tcBorders>
          </w:tcPr>
          <w:p w14:paraId="28676745"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0.00</w:t>
            </w:r>
          </w:p>
        </w:tc>
        <w:tc>
          <w:tcPr>
            <w:tcW w:w="838" w:type="dxa"/>
            <w:tcBorders>
              <w:top w:val="nil"/>
              <w:left w:val="nil"/>
              <w:bottom w:val="single" w:sz="8" w:space="0" w:color="455560" w:themeColor="accent5"/>
              <w:right w:val="nil"/>
            </w:tcBorders>
          </w:tcPr>
          <w:p w14:paraId="21F18B4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0.00</w:t>
            </w:r>
          </w:p>
        </w:tc>
        <w:tc>
          <w:tcPr>
            <w:tcW w:w="839" w:type="dxa"/>
            <w:gridSpan w:val="2"/>
            <w:tcBorders>
              <w:top w:val="nil"/>
              <w:left w:val="nil"/>
              <w:bottom w:val="single" w:sz="8" w:space="0" w:color="455560" w:themeColor="accent5"/>
            </w:tcBorders>
          </w:tcPr>
          <w:p w14:paraId="4A78C1A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0.00</w:t>
            </w:r>
          </w:p>
        </w:tc>
      </w:tr>
      <w:tr w:rsidR="00D63229" w:rsidRPr="002C0D40" w14:paraId="72AD2ECF" w14:textId="77777777" w:rsidTr="00773FF9">
        <w:tc>
          <w:tcPr>
            <w:tcW w:w="1676" w:type="dxa"/>
            <w:tcBorders>
              <w:top w:val="single" w:sz="8" w:space="0" w:color="455560" w:themeColor="accent5"/>
              <w:bottom w:val="single" w:sz="8" w:space="0" w:color="455560" w:themeColor="accent5"/>
              <w:right w:val="nil"/>
            </w:tcBorders>
          </w:tcPr>
          <w:p w14:paraId="45BCFA1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25</w:t>
            </w:r>
          </w:p>
        </w:tc>
        <w:tc>
          <w:tcPr>
            <w:tcW w:w="1677" w:type="dxa"/>
            <w:tcBorders>
              <w:top w:val="single" w:sz="8" w:space="0" w:color="455560" w:themeColor="accent5"/>
              <w:left w:val="nil"/>
              <w:bottom w:val="single" w:sz="8" w:space="0" w:color="455560" w:themeColor="accent5"/>
              <w:right w:val="nil"/>
            </w:tcBorders>
          </w:tcPr>
          <w:p w14:paraId="7DD42B2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117</w:t>
            </w:r>
          </w:p>
        </w:tc>
        <w:tc>
          <w:tcPr>
            <w:tcW w:w="1677" w:type="dxa"/>
            <w:tcBorders>
              <w:top w:val="single" w:sz="8" w:space="0" w:color="455560" w:themeColor="accent5"/>
              <w:left w:val="nil"/>
              <w:bottom w:val="single" w:sz="8" w:space="0" w:color="455560" w:themeColor="accent5"/>
              <w:right w:val="nil"/>
            </w:tcBorders>
          </w:tcPr>
          <w:p w14:paraId="4F89A58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0.12</w:t>
            </w:r>
          </w:p>
        </w:tc>
        <w:tc>
          <w:tcPr>
            <w:tcW w:w="838" w:type="dxa"/>
            <w:tcBorders>
              <w:top w:val="single" w:sz="8" w:space="0" w:color="455560" w:themeColor="accent5"/>
              <w:left w:val="nil"/>
              <w:bottom w:val="single" w:sz="8" w:space="0" w:color="455560" w:themeColor="accent5"/>
              <w:right w:val="nil"/>
            </w:tcBorders>
          </w:tcPr>
          <w:p w14:paraId="6EA11F9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152.99</w:t>
            </w:r>
          </w:p>
        </w:tc>
        <w:tc>
          <w:tcPr>
            <w:tcW w:w="838" w:type="dxa"/>
            <w:tcBorders>
              <w:top w:val="single" w:sz="8" w:space="0" w:color="455560" w:themeColor="accent5"/>
              <w:left w:val="nil"/>
              <w:bottom w:val="single" w:sz="8" w:space="0" w:color="455560" w:themeColor="accent5"/>
              <w:right w:val="nil"/>
            </w:tcBorders>
          </w:tcPr>
          <w:p w14:paraId="36469A82"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169.97</w:t>
            </w:r>
          </w:p>
        </w:tc>
        <w:tc>
          <w:tcPr>
            <w:tcW w:w="838" w:type="dxa"/>
            <w:tcBorders>
              <w:top w:val="single" w:sz="8" w:space="0" w:color="455560" w:themeColor="accent5"/>
              <w:left w:val="nil"/>
              <w:bottom w:val="single" w:sz="8" w:space="0" w:color="455560" w:themeColor="accent5"/>
              <w:right w:val="nil"/>
            </w:tcBorders>
          </w:tcPr>
          <w:p w14:paraId="4DA24A5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0.10</w:t>
            </w:r>
          </w:p>
        </w:tc>
        <w:tc>
          <w:tcPr>
            <w:tcW w:w="839" w:type="dxa"/>
            <w:tcBorders>
              <w:top w:val="single" w:sz="8" w:space="0" w:color="455560" w:themeColor="accent5"/>
              <w:left w:val="nil"/>
              <w:bottom w:val="single" w:sz="8" w:space="0" w:color="455560" w:themeColor="accent5"/>
              <w:right w:val="nil"/>
            </w:tcBorders>
          </w:tcPr>
          <w:p w14:paraId="660BA328"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0.07</w:t>
            </w:r>
          </w:p>
        </w:tc>
        <w:tc>
          <w:tcPr>
            <w:tcW w:w="838" w:type="dxa"/>
            <w:tcBorders>
              <w:top w:val="single" w:sz="8" w:space="0" w:color="455560" w:themeColor="accent5"/>
              <w:left w:val="nil"/>
              <w:bottom w:val="single" w:sz="8" w:space="0" w:color="455560" w:themeColor="accent5"/>
              <w:right w:val="nil"/>
            </w:tcBorders>
          </w:tcPr>
          <w:p w14:paraId="677F196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0.02</w:t>
            </w:r>
          </w:p>
        </w:tc>
        <w:tc>
          <w:tcPr>
            <w:tcW w:w="839" w:type="dxa"/>
            <w:gridSpan w:val="2"/>
            <w:tcBorders>
              <w:top w:val="single" w:sz="8" w:space="0" w:color="455560" w:themeColor="accent5"/>
              <w:left w:val="nil"/>
              <w:bottom w:val="single" w:sz="8" w:space="0" w:color="455560" w:themeColor="accent5"/>
            </w:tcBorders>
          </w:tcPr>
          <w:p w14:paraId="11FEAFD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0.01</w:t>
            </w:r>
          </w:p>
        </w:tc>
      </w:tr>
      <w:tr w:rsidR="00D63229" w:rsidRPr="002C0D40" w14:paraId="07FB3919" w14:textId="77777777" w:rsidTr="00773FF9">
        <w:tc>
          <w:tcPr>
            <w:tcW w:w="1676" w:type="dxa"/>
            <w:tcBorders>
              <w:top w:val="single" w:sz="8" w:space="0" w:color="455560" w:themeColor="accent5"/>
              <w:bottom w:val="single" w:sz="8" w:space="0" w:color="455560" w:themeColor="accent5"/>
              <w:right w:val="nil"/>
            </w:tcBorders>
          </w:tcPr>
          <w:p w14:paraId="78E9BBA0"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30</w:t>
            </w:r>
          </w:p>
        </w:tc>
        <w:tc>
          <w:tcPr>
            <w:tcW w:w="1677" w:type="dxa"/>
            <w:tcBorders>
              <w:top w:val="single" w:sz="8" w:space="0" w:color="455560" w:themeColor="accent5"/>
              <w:left w:val="nil"/>
              <w:bottom w:val="single" w:sz="8" w:space="0" w:color="455560" w:themeColor="accent5"/>
              <w:right w:val="nil"/>
            </w:tcBorders>
          </w:tcPr>
          <w:p w14:paraId="39CFCFD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131</w:t>
            </w:r>
          </w:p>
        </w:tc>
        <w:tc>
          <w:tcPr>
            <w:tcW w:w="1677" w:type="dxa"/>
            <w:tcBorders>
              <w:top w:val="single" w:sz="8" w:space="0" w:color="455560" w:themeColor="accent5"/>
              <w:left w:val="nil"/>
              <w:bottom w:val="single" w:sz="8" w:space="0" w:color="455560" w:themeColor="accent5"/>
              <w:right w:val="nil"/>
            </w:tcBorders>
          </w:tcPr>
          <w:p w14:paraId="7465B93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0.18</w:t>
            </w:r>
          </w:p>
        </w:tc>
        <w:tc>
          <w:tcPr>
            <w:tcW w:w="838" w:type="dxa"/>
            <w:tcBorders>
              <w:top w:val="single" w:sz="8" w:space="0" w:color="455560" w:themeColor="accent5"/>
              <w:left w:val="nil"/>
              <w:bottom w:val="single" w:sz="8" w:space="0" w:color="455560" w:themeColor="accent5"/>
              <w:right w:val="nil"/>
            </w:tcBorders>
          </w:tcPr>
          <w:p w14:paraId="7D8000D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128.25</w:t>
            </w:r>
          </w:p>
        </w:tc>
        <w:tc>
          <w:tcPr>
            <w:tcW w:w="838" w:type="dxa"/>
            <w:tcBorders>
              <w:top w:val="single" w:sz="8" w:space="0" w:color="455560" w:themeColor="accent5"/>
              <w:left w:val="nil"/>
              <w:bottom w:val="single" w:sz="8" w:space="0" w:color="455560" w:themeColor="accent5"/>
              <w:right w:val="nil"/>
            </w:tcBorders>
          </w:tcPr>
          <w:p w14:paraId="32AE4F58"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142.46</w:t>
            </w:r>
          </w:p>
        </w:tc>
        <w:tc>
          <w:tcPr>
            <w:tcW w:w="838" w:type="dxa"/>
            <w:tcBorders>
              <w:top w:val="single" w:sz="8" w:space="0" w:color="455560" w:themeColor="accent5"/>
              <w:left w:val="nil"/>
              <w:bottom w:val="single" w:sz="8" w:space="0" w:color="455560" w:themeColor="accent5"/>
              <w:right w:val="nil"/>
            </w:tcBorders>
          </w:tcPr>
          <w:p w14:paraId="64269ED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0.13</w:t>
            </w:r>
          </w:p>
        </w:tc>
        <w:tc>
          <w:tcPr>
            <w:tcW w:w="839" w:type="dxa"/>
            <w:tcBorders>
              <w:top w:val="single" w:sz="8" w:space="0" w:color="455560" w:themeColor="accent5"/>
              <w:left w:val="nil"/>
              <w:bottom w:val="single" w:sz="8" w:space="0" w:color="455560" w:themeColor="accent5"/>
              <w:right w:val="nil"/>
            </w:tcBorders>
          </w:tcPr>
          <w:p w14:paraId="38A8569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0.10</w:t>
            </w:r>
          </w:p>
        </w:tc>
        <w:tc>
          <w:tcPr>
            <w:tcW w:w="838" w:type="dxa"/>
            <w:tcBorders>
              <w:top w:val="single" w:sz="8" w:space="0" w:color="455560" w:themeColor="accent5"/>
              <w:left w:val="nil"/>
              <w:bottom w:val="single" w:sz="8" w:space="0" w:color="455560" w:themeColor="accent5"/>
              <w:right w:val="nil"/>
            </w:tcBorders>
          </w:tcPr>
          <w:p w14:paraId="2D0F2A23"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0.03</w:t>
            </w:r>
          </w:p>
        </w:tc>
        <w:tc>
          <w:tcPr>
            <w:tcW w:w="839" w:type="dxa"/>
            <w:gridSpan w:val="2"/>
            <w:tcBorders>
              <w:top w:val="single" w:sz="8" w:space="0" w:color="455560" w:themeColor="accent5"/>
              <w:left w:val="nil"/>
              <w:bottom w:val="single" w:sz="8" w:space="0" w:color="455560" w:themeColor="accent5"/>
            </w:tcBorders>
          </w:tcPr>
          <w:p w14:paraId="39D0528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0.02</w:t>
            </w:r>
          </w:p>
        </w:tc>
      </w:tr>
      <w:tr w:rsidR="00D63229" w:rsidRPr="002C0D40" w14:paraId="05C7D6EE" w14:textId="77777777" w:rsidTr="00773FF9">
        <w:tc>
          <w:tcPr>
            <w:tcW w:w="1676" w:type="dxa"/>
            <w:tcBorders>
              <w:top w:val="single" w:sz="8" w:space="0" w:color="455560" w:themeColor="accent5"/>
              <w:bottom w:val="single" w:sz="8" w:space="0" w:color="455560" w:themeColor="accent5"/>
              <w:right w:val="nil"/>
            </w:tcBorders>
          </w:tcPr>
          <w:p w14:paraId="4BCA3A1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35</w:t>
            </w:r>
          </w:p>
        </w:tc>
        <w:tc>
          <w:tcPr>
            <w:tcW w:w="1677" w:type="dxa"/>
            <w:tcBorders>
              <w:top w:val="single" w:sz="8" w:space="0" w:color="455560" w:themeColor="accent5"/>
              <w:left w:val="nil"/>
              <w:bottom w:val="single" w:sz="8" w:space="0" w:color="455560" w:themeColor="accent5"/>
              <w:right w:val="nil"/>
            </w:tcBorders>
          </w:tcPr>
          <w:p w14:paraId="28226AA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144</w:t>
            </w:r>
          </w:p>
        </w:tc>
        <w:tc>
          <w:tcPr>
            <w:tcW w:w="1677" w:type="dxa"/>
            <w:tcBorders>
              <w:top w:val="single" w:sz="8" w:space="0" w:color="455560" w:themeColor="accent5"/>
              <w:left w:val="nil"/>
              <w:bottom w:val="single" w:sz="8" w:space="0" w:color="455560" w:themeColor="accent5"/>
              <w:right w:val="nil"/>
            </w:tcBorders>
          </w:tcPr>
          <w:p w14:paraId="4B635A25"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0.30</w:t>
            </w:r>
          </w:p>
        </w:tc>
        <w:tc>
          <w:tcPr>
            <w:tcW w:w="838" w:type="dxa"/>
            <w:tcBorders>
              <w:top w:val="single" w:sz="8" w:space="0" w:color="455560" w:themeColor="accent5"/>
              <w:left w:val="nil"/>
              <w:bottom w:val="single" w:sz="8" w:space="0" w:color="455560" w:themeColor="accent5"/>
              <w:right w:val="nil"/>
            </w:tcBorders>
          </w:tcPr>
          <w:p w14:paraId="3D861B7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110.69</w:t>
            </w:r>
          </w:p>
        </w:tc>
        <w:tc>
          <w:tcPr>
            <w:tcW w:w="838" w:type="dxa"/>
            <w:tcBorders>
              <w:top w:val="single" w:sz="8" w:space="0" w:color="455560" w:themeColor="accent5"/>
              <w:left w:val="nil"/>
              <w:bottom w:val="single" w:sz="8" w:space="0" w:color="455560" w:themeColor="accent5"/>
              <w:right w:val="nil"/>
            </w:tcBorders>
          </w:tcPr>
          <w:p w14:paraId="5CD8EF9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122.91</w:t>
            </w:r>
          </w:p>
        </w:tc>
        <w:tc>
          <w:tcPr>
            <w:tcW w:w="838" w:type="dxa"/>
            <w:tcBorders>
              <w:top w:val="single" w:sz="8" w:space="0" w:color="455560" w:themeColor="accent5"/>
              <w:left w:val="nil"/>
              <w:bottom w:val="single" w:sz="8" w:space="0" w:color="455560" w:themeColor="accent5"/>
              <w:right w:val="nil"/>
            </w:tcBorders>
          </w:tcPr>
          <w:p w14:paraId="096C264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0.26</w:t>
            </w:r>
          </w:p>
        </w:tc>
        <w:tc>
          <w:tcPr>
            <w:tcW w:w="839" w:type="dxa"/>
            <w:tcBorders>
              <w:top w:val="single" w:sz="8" w:space="0" w:color="455560" w:themeColor="accent5"/>
              <w:left w:val="nil"/>
              <w:bottom w:val="single" w:sz="8" w:space="0" w:color="455560" w:themeColor="accent5"/>
              <w:right w:val="nil"/>
            </w:tcBorders>
          </w:tcPr>
          <w:p w14:paraId="15057B5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0.19</w:t>
            </w:r>
          </w:p>
        </w:tc>
        <w:tc>
          <w:tcPr>
            <w:tcW w:w="838" w:type="dxa"/>
            <w:tcBorders>
              <w:top w:val="single" w:sz="8" w:space="0" w:color="455560" w:themeColor="accent5"/>
              <w:left w:val="nil"/>
              <w:bottom w:val="single" w:sz="8" w:space="0" w:color="455560" w:themeColor="accent5"/>
              <w:right w:val="nil"/>
            </w:tcBorders>
          </w:tcPr>
          <w:p w14:paraId="0E5A6525"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0.05</w:t>
            </w:r>
          </w:p>
        </w:tc>
        <w:tc>
          <w:tcPr>
            <w:tcW w:w="839" w:type="dxa"/>
            <w:gridSpan w:val="2"/>
            <w:tcBorders>
              <w:top w:val="single" w:sz="8" w:space="0" w:color="455560" w:themeColor="accent5"/>
              <w:left w:val="nil"/>
              <w:bottom w:val="single" w:sz="8" w:space="0" w:color="455560" w:themeColor="accent5"/>
            </w:tcBorders>
          </w:tcPr>
          <w:p w14:paraId="3CE7056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0.04</w:t>
            </w:r>
          </w:p>
        </w:tc>
      </w:tr>
      <w:tr w:rsidR="00D63229" w:rsidRPr="002C0D40" w14:paraId="11772B60" w14:textId="77777777" w:rsidTr="00773FF9">
        <w:tc>
          <w:tcPr>
            <w:tcW w:w="1676" w:type="dxa"/>
            <w:tcBorders>
              <w:top w:val="single" w:sz="8" w:space="0" w:color="455560" w:themeColor="accent5"/>
              <w:bottom w:val="single" w:sz="8" w:space="0" w:color="455560" w:themeColor="accent5"/>
              <w:right w:val="nil"/>
            </w:tcBorders>
          </w:tcPr>
          <w:p w14:paraId="5E8D220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40</w:t>
            </w:r>
          </w:p>
        </w:tc>
        <w:tc>
          <w:tcPr>
            <w:tcW w:w="1677" w:type="dxa"/>
            <w:tcBorders>
              <w:top w:val="single" w:sz="8" w:space="0" w:color="455560" w:themeColor="accent5"/>
              <w:left w:val="nil"/>
              <w:bottom w:val="single" w:sz="8" w:space="0" w:color="455560" w:themeColor="accent5"/>
              <w:right w:val="nil"/>
            </w:tcBorders>
          </w:tcPr>
          <w:p w14:paraId="675E6D62"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150</w:t>
            </w:r>
          </w:p>
        </w:tc>
        <w:tc>
          <w:tcPr>
            <w:tcW w:w="1677" w:type="dxa"/>
            <w:tcBorders>
              <w:top w:val="single" w:sz="8" w:space="0" w:color="455560" w:themeColor="accent5"/>
              <w:left w:val="nil"/>
              <w:bottom w:val="single" w:sz="8" w:space="0" w:color="455560" w:themeColor="accent5"/>
              <w:right w:val="nil"/>
            </w:tcBorders>
          </w:tcPr>
          <w:p w14:paraId="2C972D75"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0.48</w:t>
            </w:r>
          </w:p>
        </w:tc>
        <w:tc>
          <w:tcPr>
            <w:tcW w:w="838" w:type="dxa"/>
            <w:tcBorders>
              <w:top w:val="single" w:sz="8" w:space="0" w:color="455560" w:themeColor="accent5"/>
              <w:left w:val="nil"/>
              <w:bottom w:val="single" w:sz="8" w:space="0" w:color="455560" w:themeColor="accent5"/>
              <w:right w:val="nil"/>
            </w:tcBorders>
          </w:tcPr>
          <w:p w14:paraId="3EB7A7B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92.12</w:t>
            </w:r>
          </w:p>
        </w:tc>
        <w:tc>
          <w:tcPr>
            <w:tcW w:w="838" w:type="dxa"/>
            <w:tcBorders>
              <w:top w:val="single" w:sz="8" w:space="0" w:color="455560" w:themeColor="accent5"/>
              <w:left w:val="nil"/>
              <w:bottom w:val="single" w:sz="8" w:space="0" w:color="455560" w:themeColor="accent5"/>
              <w:right w:val="nil"/>
            </w:tcBorders>
          </w:tcPr>
          <w:p w14:paraId="26A9D287"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102.26</w:t>
            </w:r>
          </w:p>
        </w:tc>
        <w:tc>
          <w:tcPr>
            <w:tcW w:w="838" w:type="dxa"/>
            <w:tcBorders>
              <w:top w:val="single" w:sz="8" w:space="0" w:color="455560" w:themeColor="accent5"/>
              <w:left w:val="nil"/>
              <w:bottom w:val="single" w:sz="8" w:space="0" w:color="455560" w:themeColor="accent5"/>
              <w:right w:val="nil"/>
            </w:tcBorders>
          </w:tcPr>
          <w:p w14:paraId="5BFE3D9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0.39</w:t>
            </w:r>
          </w:p>
        </w:tc>
        <w:tc>
          <w:tcPr>
            <w:tcW w:w="839" w:type="dxa"/>
            <w:tcBorders>
              <w:top w:val="single" w:sz="8" w:space="0" w:color="455560" w:themeColor="accent5"/>
              <w:left w:val="nil"/>
              <w:bottom w:val="single" w:sz="8" w:space="0" w:color="455560" w:themeColor="accent5"/>
              <w:right w:val="nil"/>
            </w:tcBorders>
          </w:tcPr>
          <w:p w14:paraId="438E8F32"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0.29</w:t>
            </w:r>
          </w:p>
        </w:tc>
        <w:tc>
          <w:tcPr>
            <w:tcW w:w="838" w:type="dxa"/>
            <w:tcBorders>
              <w:top w:val="single" w:sz="8" w:space="0" w:color="455560" w:themeColor="accent5"/>
              <w:left w:val="nil"/>
              <w:bottom w:val="single" w:sz="8" w:space="0" w:color="455560" w:themeColor="accent5"/>
              <w:right w:val="nil"/>
            </w:tcBorders>
          </w:tcPr>
          <w:p w14:paraId="4F183ED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0.03</w:t>
            </w:r>
          </w:p>
        </w:tc>
        <w:tc>
          <w:tcPr>
            <w:tcW w:w="839" w:type="dxa"/>
            <w:gridSpan w:val="2"/>
            <w:tcBorders>
              <w:top w:val="single" w:sz="8" w:space="0" w:color="455560" w:themeColor="accent5"/>
              <w:left w:val="nil"/>
              <w:bottom w:val="single" w:sz="8" w:space="0" w:color="455560" w:themeColor="accent5"/>
            </w:tcBorders>
          </w:tcPr>
          <w:p w14:paraId="70308BF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0.02</w:t>
            </w:r>
          </w:p>
        </w:tc>
      </w:tr>
      <w:tr w:rsidR="00D63229" w:rsidRPr="002C0D40" w14:paraId="7A313E24" w14:textId="77777777" w:rsidTr="00773FF9">
        <w:tc>
          <w:tcPr>
            <w:tcW w:w="1676" w:type="dxa"/>
            <w:tcBorders>
              <w:top w:val="single" w:sz="8" w:space="0" w:color="455560" w:themeColor="accent5"/>
              <w:bottom w:val="single" w:sz="8" w:space="0" w:color="455560" w:themeColor="accent5"/>
              <w:right w:val="nil"/>
            </w:tcBorders>
          </w:tcPr>
          <w:p w14:paraId="23C7B9D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45</w:t>
            </w:r>
          </w:p>
        </w:tc>
        <w:tc>
          <w:tcPr>
            <w:tcW w:w="1677" w:type="dxa"/>
            <w:tcBorders>
              <w:top w:val="single" w:sz="8" w:space="0" w:color="455560" w:themeColor="accent5"/>
              <w:left w:val="nil"/>
              <w:bottom w:val="single" w:sz="8" w:space="0" w:color="455560" w:themeColor="accent5"/>
              <w:right w:val="nil"/>
            </w:tcBorders>
          </w:tcPr>
          <w:p w14:paraId="4031879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155</w:t>
            </w:r>
          </w:p>
        </w:tc>
        <w:tc>
          <w:tcPr>
            <w:tcW w:w="1677" w:type="dxa"/>
            <w:tcBorders>
              <w:top w:val="single" w:sz="8" w:space="0" w:color="455560" w:themeColor="accent5"/>
              <w:left w:val="nil"/>
              <w:bottom w:val="single" w:sz="8" w:space="0" w:color="455560" w:themeColor="accent5"/>
              <w:right w:val="nil"/>
            </w:tcBorders>
          </w:tcPr>
          <w:p w14:paraId="472C33F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0.56</w:t>
            </w:r>
          </w:p>
        </w:tc>
        <w:tc>
          <w:tcPr>
            <w:tcW w:w="838" w:type="dxa"/>
            <w:tcBorders>
              <w:top w:val="single" w:sz="8" w:space="0" w:color="455560" w:themeColor="accent5"/>
              <w:left w:val="nil"/>
              <w:bottom w:val="single" w:sz="8" w:space="0" w:color="455560" w:themeColor="accent5"/>
              <w:right w:val="nil"/>
            </w:tcBorders>
          </w:tcPr>
          <w:p w14:paraId="05D2E287"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85.12</w:t>
            </w:r>
          </w:p>
        </w:tc>
        <w:tc>
          <w:tcPr>
            <w:tcW w:w="838" w:type="dxa"/>
            <w:tcBorders>
              <w:top w:val="single" w:sz="8" w:space="0" w:color="455560" w:themeColor="accent5"/>
              <w:left w:val="nil"/>
              <w:bottom w:val="single" w:sz="8" w:space="0" w:color="455560" w:themeColor="accent5"/>
              <w:right w:val="nil"/>
            </w:tcBorders>
          </w:tcPr>
          <w:p w14:paraId="06490D5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125.58</w:t>
            </w:r>
          </w:p>
        </w:tc>
        <w:tc>
          <w:tcPr>
            <w:tcW w:w="838" w:type="dxa"/>
            <w:tcBorders>
              <w:top w:val="single" w:sz="8" w:space="0" w:color="455560" w:themeColor="accent5"/>
              <w:left w:val="nil"/>
              <w:bottom w:val="single" w:sz="8" w:space="0" w:color="455560" w:themeColor="accent5"/>
              <w:right w:val="nil"/>
            </w:tcBorders>
          </w:tcPr>
          <w:p w14:paraId="3B909FB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0.55</w:t>
            </w:r>
          </w:p>
        </w:tc>
        <w:tc>
          <w:tcPr>
            <w:tcW w:w="839" w:type="dxa"/>
            <w:tcBorders>
              <w:top w:val="single" w:sz="8" w:space="0" w:color="455560" w:themeColor="accent5"/>
              <w:left w:val="nil"/>
              <w:bottom w:val="single" w:sz="8" w:space="0" w:color="455560" w:themeColor="accent5"/>
              <w:right w:val="nil"/>
            </w:tcBorders>
          </w:tcPr>
          <w:p w14:paraId="364BE74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0.45</w:t>
            </w:r>
          </w:p>
        </w:tc>
        <w:tc>
          <w:tcPr>
            <w:tcW w:w="838" w:type="dxa"/>
            <w:tcBorders>
              <w:top w:val="single" w:sz="8" w:space="0" w:color="455560" w:themeColor="accent5"/>
              <w:left w:val="nil"/>
              <w:bottom w:val="single" w:sz="8" w:space="0" w:color="455560" w:themeColor="accent5"/>
              <w:right w:val="nil"/>
            </w:tcBorders>
          </w:tcPr>
          <w:p w14:paraId="18F55B2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0.04</w:t>
            </w:r>
          </w:p>
        </w:tc>
        <w:tc>
          <w:tcPr>
            <w:tcW w:w="839" w:type="dxa"/>
            <w:gridSpan w:val="2"/>
            <w:tcBorders>
              <w:top w:val="single" w:sz="8" w:space="0" w:color="455560" w:themeColor="accent5"/>
              <w:left w:val="nil"/>
              <w:bottom w:val="single" w:sz="8" w:space="0" w:color="455560" w:themeColor="accent5"/>
            </w:tcBorders>
          </w:tcPr>
          <w:p w14:paraId="17B79DE6"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0.02</w:t>
            </w:r>
          </w:p>
        </w:tc>
      </w:tr>
      <w:tr w:rsidR="00D63229" w:rsidRPr="002C0D40" w14:paraId="10660FBF" w14:textId="77777777" w:rsidTr="00773FF9">
        <w:tc>
          <w:tcPr>
            <w:tcW w:w="1676" w:type="dxa"/>
            <w:tcBorders>
              <w:top w:val="single" w:sz="8" w:space="0" w:color="455560" w:themeColor="accent5"/>
              <w:bottom w:val="single" w:sz="8" w:space="0" w:color="455560" w:themeColor="accent5"/>
              <w:right w:val="nil"/>
            </w:tcBorders>
          </w:tcPr>
          <w:p w14:paraId="4E29F71E"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50</w:t>
            </w:r>
          </w:p>
        </w:tc>
        <w:tc>
          <w:tcPr>
            <w:tcW w:w="1677" w:type="dxa"/>
            <w:tcBorders>
              <w:top w:val="single" w:sz="8" w:space="0" w:color="455560" w:themeColor="accent5"/>
              <w:left w:val="nil"/>
              <w:bottom w:val="single" w:sz="8" w:space="0" w:color="455560" w:themeColor="accent5"/>
              <w:right w:val="nil"/>
            </w:tcBorders>
          </w:tcPr>
          <w:p w14:paraId="3AFA2678"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160</w:t>
            </w:r>
          </w:p>
        </w:tc>
        <w:tc>
          <w:tcPr>
            <w:tcW w:w="1677" w:type="dxa"/>
            <w:tcBorders>
              <w:top w:val="single" w:sz="8" w:space="0" w:color="455560" w:themeColor="accent5"/>
              <w:left w:val="nil"/>
              <w:bottom w:val="single" w:sz="8" w:space="0" w:color="455560" w:themeColor="accent5"/>
              <w:right w:val="nil"/>
            </w:tcBorders>
          </w:tcPr>
          <w:p w14:paraId="29A2AB0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0.59</w:t>
            </w:r>
          </w:p>
        </w:tc>
        <w:tc>
          <w:tcPr>
            <w:tcW w:w="838" w:type="dxa"/>
            <w:tcBorders>
              <w:top w:val="single" w:sz="8" w:space="0" w:color="455560" w:themeColor="accent5"/>
              <w:left w:val="nil"/>
              <w:bottom w:val="single" w:sz="8" w:space="0" w:color="455560" w:themeColor="accent5"/>
              <w:right w:val="nil"/>
            </w:tcBorders>
          </w:tcPr>
          <w:p w14:paraId="6086FDE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47.69</w:t>
            </w:r>
          </w:p>
        </w:tc>
        <w:tc>
          <w:tcPr>
            <w:tcW w:w="838" w:type="dxa"/>
            <w:tcBorders>
              <w:top w:val="single" w:sz="8" w:space="0" w:color="455560" w:themeColor="accent5"/>
              <w:left w:val="nil"/>
              <w:bottom w:val="single" w:sz="8" w:space="0" w:color="455560" w:themeColor="accent5"/>
              <w:right w:val="nil"/>
            </w:tcBorders>
          </w:tcPr>
          <w:p w14:paraId="35C898F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144.36</w:t>
            </w:r>
          </w:p>
        </w:tc>
        <w:tc>
          <w:tcPr>
            <w:tcW w:w="838" w:type="dxa"/>
            <w:tcBorders>
              <w:top w:val="single" w:sz="8" w:space="0" w:color="455560" w:themeColor="accent5"/>
              <w:left w:val="nil"/>
              <w:bottom w:val="single" w:sz="8" w:space="0" w:color="455560" w:themeColor="accent5"/>
              <w:right w:val="nil"/>
            </w:tcBorders>
          </w:tcPr>
          <w:p w14:paraId="6BA1C93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0.45</w:t>
            </w:r>
          </w:p>
        </w:tc>
        <w:tc>
          <w:tcPr>
            <w:tcW w:w="839" w:type="dxa"/>
            <w:tcBorders>
              <w:top w:val="single" w:sz="8" w:space="0" w:color="455560" w:themeColor="accent5"/>
              <w:left w:val="nil"/>
              <w:bottom w:val="single" w:sz="8" w:space="0" w:color="455560" w:themeColor="accent5"/>
              <w:right w:val="nil"/>
            </w:tcBorders>
          </w:tcPr>
          <w:p w14:paraId="38B25D97"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0.78</w:t>
            </w:r>
          </w:p>
        </w:tc>
        <w:tc>
          <w:tcPr>
            <w:tcW w:w="838" w:type="dxa"/>
            <w:tcBorders>
              <w:top w:val="single" w:sz="8" w:space="0" w:color="455560" w:themeColor="accent5"/>
              <w:left w:val="nil"/>
              <w:bottom w:val="single" w:sz="8" w:space="0" w:color="455560" w:themeColor="accent5"/>
              <w:right w:val="nil"/>
            </w:tcBorders>
          </w:tcPr>
          <w:p w14:paraId="2DBD2C5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0.01</w:t>
            </w:r>
          </w:p>
        </w:tc>
        <w:tc>
          <w:tcPr>
            <w:tcW w:w="839" w:type="dxa"/>
            <w:gridSpan w:val="2"/>
            <w:tcBorders>
              <w:top w:val="single" w:sz="8" w:space="0" w:color="455560" w:themeColor="accent5"/>
              <w:left w:val="nil"/>
              <w:bottom w:val="single" w:sz="8" w:space="0" w:color="455560" w:themeColor="accent5"/>
            </w:tcBorders>
          </w:tcPr>
          <w:p w14:paraId="4D59FDA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0.03</w:t>
            </w:r>
          </w:p>
        </w:tc>
      </w:tr>
      <w:tr w:rsidR="00D63229" w:rsidRPr="002C0D40" w14:paraId="0BC303D9" w14:textId="77777777" w:rsidTr="00773FF9">
        <w:tc>
          <w:tcPr>
            <w:tcW w:w="1676" w:type="dxa"/>
            <w:tcBorders>
              <w:top w:val="single" w:sz="8" w:space="0" w:color="455560" w:themeColor="accent5"/>
              <w:bottom w:val="single" w:sz="8" w:space="0" w:color="455560" w:themeColor="accent5"/>
              <w:right w:val="nil"/>
            </w:tcBorders>
          </w:tcPr>
          <w:p w14:paraId="3676DED1"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55</w:t>
            </w:r>
          </w:p>
        </w:tc>
        <w:tc>
          <w:tcPr>
            <w:tcW w:w="1677" w:type="dxa"/>
            <w:tcBorders>
              <w:top w:val="single" w:sz="8" w:space="0" w:color="455560" w:themeColor="accent5"/>
              <w:left w:val="nil"/>
              <w:bottom w:val="single" w:sz="8" w:space="0" w:color="455560" w:themeColor="accent5"/>
              <w:right w:val="nil"/>
            </w:tcBorders>
          </w:tcPr>
          <w:p w14:paraId="094EB5E5"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163</w:t>
            </w:r>
          </w:p>
        </w:tc>
        <w:tc>
          <w:tcPr>
            <w:tcW w:w="1677" w:type="dxa"/>
            <w:tcBorders>
              <w:top w:val="single" w:sz="8" w:space="0" w:color="455560" w:themeColor="accent5"/>
              <w:left w:val="nil"/>
              <w:bottom w:val="single" w:sz="8" w:space="0" w:color="455560" w:themeColor="accent5"/>
              <w:right w:val="nil"/>
            </w:tcBorders>
          </w:tcPr>
          <w:p w14:paraId="2BA4CDFC"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0.61</w:t>
            </w:r>
          </w:p>
        </w:tc>
        <w:tc>
          <w:tcPr>
            <w:tcW w:w="838" w:type="dxa"/>
            <w:tcBorders>
              <w:top w:val="single" w:sz="8" w:space="0" w:color="455560" w:themeColor="accent5"/>
              <w:left w:val="nil"/>
              <w:bottom w:val="single" w:sz="8" w:space="0" w:color="455560" w:themeColor="accent5"/>
              <w:right w:val="nil"/>
            </w:tcBorders>
          </w:tcPr>
          <w:p w14:paraId="6C7F146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265.23</w:t>
            </w:r>
          </w:p>
        </w:tc>
        <w:tc>
          <w:tcPr>
            <w:tcW w:w="838" w:type="dxa"/>
            <w:tcBorders>
              <w:top w:val="single" w:sz="8" w:space="0" w:color="455560" w:themeColor="accent5"/>
              <w:left w:val="nil"/>
              <w:bottom w:val="single" w:sz="8" w:space="0" w:color="455560" w:themeColor="accent5"/>
              <w:right w:val="nil"/>
            </w:tcBorders>
          </w:tcPr>
          <w:p w14:paraId="623FE8FF"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145.20</w:t>
            </w:r>
          </w:p>
        </w:tc>
        <w:tc>
          <w:tcPr>
            <w:tcW w:w="838" w:type="dxa"/>
            <w:tcBorders>
              <w:top w:val="single" w:sz="8" w:space="0" w:color="455560" w:themeColor="accent5"/>
              <w:left w:val="nil"/>
              <w:bottom w:val="single" w:sz="8" w:space="0" w:color="455560" w:themeColor="accent5"/>
              <w:right w:val="nil"/>
            </w:tcBorders>
          </w:tcPr>
          <w:p w14:paraId="48DA7672"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0.69</w:t>
            </w:r>
          </w:p>
        </w:tc>
        <w:tc>
          <w:tcPr>
            <w:tcW w:w="839" w:type="dxa"/>
            <w:tcBorders>
              <w:top w:val="single" w:sz="8" w:space="0" w:color="455560" w:themeColor="accent5"/>
              <w:left w:val="nil"/>
              <w:bottom w:val="single" w:sz="8" w:space="0" w:color="455560" w:themeColor="accent5"/>
              <w:right w:val="nil"/>
            </w:tcBorders>
          </w:tcPr>
          <w:p w14:paraId="7FFEDE42"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0.48</w:t>
            </w:r>
          </w:p>
        </w:tc>
        <w:tc>
          <w:tcPr>
            <w:tcW w:w="838" w:type="dxa"/>
            <w:tcBorders>
              <w:top w:val="single" w:sz="8" w:space="0" w:color="455560" w:themeColor="accent5"/>
              <w:left w:val="nil"/>
              <w:bottom w:val="single" w:sz="8" w:space="0" w:color="455560" w:themeColor="accent5"/>
              <w:right w:val="nil"/>
            </w:tcBorders>
          </w:tcPr>
          <w:p w14:paraId="6FA18AE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0.05</w:t>
            </w:r>
          </w:p>
        </w:tc>
        <w:tc>
          <w:tcPr>
            <w:tcW w:w="839" w:type="dxa"/>
            <w:gridSpan w:val="2"/>
            <w:tcBorders>
              <w:top w:val="single" w:sz="8" w:space="0" w:color="455560" w:themeColor="accent5"/>
              <w:left w:val="nil"/>
              <w:bottom w:val="single" w:sz="8" w:space="0" w:color="455560" w:themeColor="accent5"/>
            </w:tcBorders>
          </w:tcPr>
          <w:p w14:paraId="235B972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0.03</w:t>
            </w:r>
          </w:p>
        </w:tc>
      </w:tr>
      <w:tr w:rsidR="00D63229" w14:paraId="1D066ED5" w14:textId="77777777" w:rsidTr="00773FF9">
        <w:tc>
          <w:tcPr>
            <w:tcW w:w="1676" w:type="dxa"/>
            <w:tcBorders>
              <w:top w:val="single" w:sz="8" w:space="0" w:color="455560" w:themeColor="accent5"/>
              <w:bottom w:val="nil"/>
              <w:right w:val="nil"/>
            </w:tcBorders>
          </w:tcPr>
          <w:p w14:paraId="53774A4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60</w:t>
            </w:r>
          </w:p>
        </w:tc>
        <w:tc>
          <w:tcPr>
            <w:tcW w:w="1677" w:type="dxa"/>
            <w:tcBorders>
              <w:top w:val="single" w:sz="8" w:space="0" w:color="455560" w:themeColor="accent5"/>
              <w:left w:val="nil"/>
              <w:bottom w:val="nil"/>
              <w:right w:val="nil"/>
            </w:tcBorders>
          </w:tcPr>
          <w:p w14:paraId="2269C40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170</w:t>
            </w:r>
          </w:p>
        </w:tc>
        <w:tc>
          <w:tcPr>
            <w:tcW w:w="1677" w:type="dxa"/>
            <w:tcBorders>
              <w:top w:val="single" w:sz="8" w:space="0" w:color="455560" w:themeColor="accent5"/>
              <w:left w:val="nil"/>
              <w:bottom w:val="nil"/>
              <w:right w:val="nil"/>
            </w:tcBorders>
          </w:tcPr>
          <w:p w14:paraId="4E926E3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0.68</w:t>
            </w:r>
          </w:p>
        </w:tc>
        <w:tc>
          <w:tcPr>
            <w:tcW w:w="838" w:type="dxa"/>
            <w:tcBorders>
              <w:top w:val="single" w:sz="8" w:space="0" w:color="455560" w:themeColor="accent5"/>
              <w:left w:val="nil"/>
              <w:bottom w:val="nil"/>
              <w:right w:val="nil"/>
            </w:tcBorders>
          </w:tcPr>
          <w:p w14:paraId="629B828E" w14:textId="5221D403"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185.63</w:t>
            </w:r>
          </w:p>
        </w:tc>
        <w:tc>
          <w:tcPr>
            <w:tcW w:w="838" w:type="dxa"/>
            <w:tcBorders>
              <w:top w:val="single" w:sz="8" w:space="0" w:color="455560" w:themeColor="accent5"/>
              <w:left w:val="nil"/>
              <w:bottom w:val="nil"/>
              <w:right w:val="nil"/>
            </w:tcBorders>
          </w:tcPr>
          <w:p w14:paraId="02EC797A"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147.36</w:t>
            </w:r>
          </w:p>
        </w:tc>
        <w:tc>
          <w:tcPr>
            <w:tcW w:w="838" w:type="dxa"/>
            <w:tcBorders>
              <w:top w:val="single" w:sz="8" w:space="0" w:color="455560" w:themeColor="accent5"/>
              <w:left w:val="nil"/>
              <w:bottom w:val="nil"/>
              <w:right w:val="nil"/>
            </w:tcBorders>
          </w:tcPr>
          <w:p w14:paraId="44FCE269"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0.87</w:t>
            </w:r>
          </w:p>
        </w:tc>
        <w:tc>
          <w:tcPr>
            <w:tcW w:w="839" w:type="dxa"/>
            <w:tcBorders>
              <w:top w:val="single" w:sz="8" w:space="0" w:color="455560" w:themeColor="accent5"/>
              <w:left w:val="nil"/>
              <w:bottom w:val="nil"/>
              <w:right w:val="nil"/>
            </w:tcBorders>
          </w:tcPr>
          <w:p w14:paraId="3486AC9D"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0.96</w:t>
            </w:r>
          </w:p>
        </w:tc>
        <w:tc>
          <w:tcPr>
            <w:tcW w:w="838" w:type="dxa"/>
            <w:tcBorders>
              <w:top w:val="single" w:sz="8" w:space="0" w:color="455560" w:themeColor="accent5"/>
              <w:left w:val="nil"/>
              <w:bottom w:val="nil"/>
              <w:right w:val="nil"/>
            </w:tcBorders>
          </w:tcPr>
          <w:p w14:paraId="2D98E50B" w14:textId="77777777" w:rsidR="00D63229" w:rsidRPr="002C0D40" w:rsidRDefault="00D63229" w:rsidP="00773FF9">
            <w:pPr>
              <w:pStyle w:val="BodyTextGrey"/>
              <w:spacing w:beforeLines="20" w:before="48" w:afterLines="20" w:after="48" w:line="220" w:lineRule="atLeast"/>
              <w:jc w:val="center"/>
              <w:rPr>
                <w:sz w:val="18"/>
                <w:szCs w:val="18"/>
              </w:rPr>
            </w:pPr>
            <w:r w:rsidRPr="002C0D40">
              <w:rPr>
                <w:sz w:val="18"/>
                <w:szCs w:val="18"/>
              </w:rPr>
              <w:t>0.02</w:t>
            </w:r>
          </w:p>
        </w:tc>
        <w:tc>
          <w:tcPr>
            <w:tcW w:w="839" w:type="dxa"/>
            <w:gridSpan w:val="2"/>
            <w:tcBorders>
              <w:top w:val="single" w:sz="8" w:space="0" w:color="455560" w:themeColor="accent5"/>
              <w:left w:val="nil"/>
              <w:bottom w:val="nil"/>
            </w:tcBorders>
          </w:tcPr>
          <w:p w14:paraId="5D97A0F3" w14:textId="77777777" w:rsidR="00D63229" w:rsidRPr="00D63229" w:rsidRDefault="00D63229" w:rsidP="00773FF9">
            <w:pPr>
              <w:pStyle w:val="BodyTextGrey"/>
              <w:spacing w:beforeLines="20" w:before="48" w:afterLines="20" w:after="48" w:line="220" w:lineRule="atLeast"/>
              <w:jc w:val="center"/>
              <w:rPr>
                <w:sz w:val="18"/>
                <w:szCs w:val="18"/>
              </w:rPr>
            </w:pPr>
            <w:r w:rsidRPr="002C0D40">
              <w:rPr>
                <w:sz w:val="18"/>
                <w:szCs w:val="18"/>
              </w:rPr>
              <w:t>0.01</w:t>
            </w:r>
          </w:p>
        </w:tc>
      </w:tr>
    </w:tbl>
    <w:p w14:paraId="58E97E12" w14:textId="77777777" w:rsidR="00823DBB" w:rsidRDefault="00823DBB" w:rsidP="00823DBB">
      <w:pPr>
        <w:pStyle w:val="Heading2"/>
      </w:pPr>
      <w:bookmarkStart w:id="148" w:name="AppendixE"/>
      <w:bookmarkEnd w:id="138"/>
      <w:bookmarkEnd w:id="139"/>
      <w:bookmarkEnd w:id="140"/>
      <w:bookmarkEnd w:id="141"/>
      <w:bookmarkEnd w:id="148"/>
    </w:p>
    <w:p w14:paraId="211F8899" w14:textId="77777777" w:rsidR="00ED2E34" w:rsidRPr="00ED2E34" w:rsidRDefault="00ED2E34" w:rsidP="00ED2E34">
      <w:pPr>
        <w:pStyle w:val="BodyTextGrey"/>
      </w:pPr>
    </w:p>
    <w:p w14:paraId="33664E8D" w14:textId="77777777" w:rsidR="00424C77" w:rsidRDefault="00424C77" w:rsidP="00424C77">
      <w:pPr>
        <w:pStyle w:val="BodyTextGrey"/>
      </w:pPr>
    </w:p>
    <w:p w14:paraId="493EAC07" w14:textId="77777777" w:rsidR="00D4591A" w:rsidRDefault="00D4591A" w:rsidP="00424C77">
      <w:pPr>
        <w:pStyle w:val="BodyTextGrey"/>
      </w:pPr>
    </w:p>
    <w:p w14:paraId="63F813EC" w14:textId="77777777" w:rsidR="00D4591A" w:rsidRDefault="00D4591A" w:rsidP="00424C77">
      <w:pPr>
        <w:pStyle w:val="BodyTextGrey"/>
      </w:pPr>
    </w:p>
    <w:p w14:paraId="1AAFB09C" w14:textId="77777777" w:rsidR="00D4591A" w:rsidRDefault="00D4591A" w:rsidP="00424C77">
      <w:pPr>
        <w:pStyle w:val="BodyTextGrey"/>
      </w:pPr>
    </w:p>
    <w:p w14:paraId="5F65A573" w14:textId="77777777" w:rsidR="00D4591A" w:rsidRDefault="00D4591A" w:rsidP="00424C77">
      <w:pPr>
        <w:pStyle w:val="BodyTextGrey"/>
      </w:pPr>
    </w:p>
    <w:p w14:paraId="4577C28E" w14:textId="77777777" w:rsidR="00D4591A" w:rsidRDefault="00D4591A" w:rsidP="00424C77">
      <w:pPr>
        <w:pStyle w:val="BodyTextGrey"/>
      </w:pPr>
    </w:p>
    <w:p w14:paraId="354B5175" w14:textId="77777777" w:rsidR="00D4591A" w:rsidRDefault="00D4591A" w:rsidP="00424C77">
      <w:pPr>
        <w:pStyle w:val="BodyTextGrey"/>
      </w:pPr>
    </w:p>
    <w:p w14:paraId="588CF98E" w14:textId="28A4A722" w:rsidR="00461C3E" w:rsidRPr="00461C3E" w:rsidRDefault="00461C3E" w:rsidP="00461C3E">
      <w:pPr>
        <w:pStyle w:val="Heading1"/>
        <w:rPr>
          <w:rFonts w:cs="Arial"/>
          <w:iCs/>
          <w:color w:val="3FA6CC" w:themeColor="accent1"/>
          <w:kern w:val="0"/>
          <w:szCs w:val="36"/>
        </w:rPr>
      </w:pPr>
      <w:bookmarkStart w:id="149" w:name="_Toc110352041"/>
      <w:bookmarkStart w:id="150" w:name="_Toc110352066"/>
      <w:bookmarkStart w:id="151" w:name="_Toc110352131"/>
      <w:bookmarkStart w:id="152" w:name="_Toc110352136"/>
      <w:r w:rsidRPr="00461C3E">
        <w:rPr>
          <w:rFonts w:cs="Arial"/>
          <w:iCs/>
          <w:color w:val="3FA6CC" w:themeColor="accent1"/>
          <w:kern w:val="0"/>
          <w:szCs w:val="36"/>
        </w:rPr>
        <w:lastRenderedPageBreak/>
        <w:t>Appendix F – Contribution review policy</w:t>
      </w:r>
    </w:p>
    <w:p w14:paraId="72D661E9" w14:textId="77777777" w:rsidR="00461C3E" w:rsidRDefault="00461C3E" w:rsidP="00461C3E">
      <w:pPr>
        <w:pStyle w:val="Heading1"/>
        <w:rPr>
          <w:color w:val="455560" w:themeColor="accent5"/>
        </w:rPr>
      </w:pPr>
    </w:p>
    <w:p w14:paraId="3B7C083F" w14:textId="7B86862D" w:rsidR="00461C3E" w:rsidRPr="00C22078" w:rsidRDefault="00461C3E" w:rsidP="00461C3E">
      <w:pPr>
        <w:pStyle w:val="Heading1"/>
        <w:rPr>
          <w:color w:val="455560" w:themeColor="accent5"/>
        </w:rPr>
      </w:pPr>
      <w:r w:rsidRPr="009F7803">
        <w:rPr>
          <w:color w:val="455560" w:themeColor="accent5"/>
        </w:rPr>
        <w:t>London Borough of Enfield Pension Fund</w:t>
      </w:r>
      <w:bookmarkEnd w:id="149"/>
      <w:bookmarkEnd w:id="150"/>
      <w:bookmarkEnd w:id="151"/>
    </w:p>
    <w:p w14:paraId="205538F2" w14:textId="77777777" w:rsidR="00461C3E" w:rsidRDefault="00461C3E" w:rsidP="00461C3E">
      <w:pPr>
        <w:pStyle w:val="Heading1"/>
        <w:rPr>
          <w:color w:val="455560" w:themeColor="accent5"/>
        </w:rPr>
      </w:pPr>
      <w:r>
        <w:rPr>
          <w:color w:val="455560" w:themeColor="accent5"/>
        </w:rPr>
        <w:t xml:space="preserve">Policy on contribution reviews </w:t>
      </w:r>
    </w:p>
    <w:tbl>
      <w:tblPr>
        <w:tblStyle w:val="TableGrid"/>
        <w:tblW w:w="0" w:type="auto"/>
        <w:tblLayout w:type="fixed"/>
        <w:tblLook w:val="04A0" w:firstRow="1" w:lastRow="0" w:firstColumn="1" w:lastColumn="0" w:noHBand="0" w:noVBand="1"/>
      </w:tblPr>
      <w:tblGrid>
        <w:gridCol w:w="3425"/>
        <w:gridCol w:w="3250"/>
      </w:tblGrid>
      <w:tr w:rsidR="00461C3E" w14:paraId="20848A11" w14:textId="77777777" w:rsidTr="006B5197">
        <w:trPr>
          <w:trHeight w:val="301"/>
        </w:trPr>
        <w:tc>
          <w:tcPr>
            <w:tcW w:w="3425" w:type="dxa"/>
          </w:tcPr>
          <w:p w14:paraId="00767083" w14:textId="77777777" w:rsidR="00461C3E" w:rsidRPr="007C2164" w:rsidRDefault="00461C3E" w:rsidP="006B5197">
            <w:pPr>
              <w:pStyle w:val="BodyTextGrey"/>
              <w:spacing w:after="0" w:line="240" w:lineRule="auto"/>
            </w:pPr>
            <w:r w:rsidRPr="007C2164">
              <w:t>Effective date of policy</w:t>
            </w:r>
          </w:p>
        </w:tc>
        <w:tc>
          <w:tcPr>
            <w:tcW w:w="3250" w:type="dxa"/>
          </w:tcPr>
          <w:p w14:paraId="5AC707D6" w14:textId="77777777" w:rsidR="00461C3E" w:rsidRPr="007C2164" w:rsidRDefault="00461C3E" w:rsidP="006B5197">
            <w:pPr>
              <w:pStyle w:val="BodyTextGrey"/>
              <w:spacing w:after="0" w:line="240" w:lineRule="auto"/>
            </w:pPr>
          </w:p>
        </w:tc>
      </w:tr>
      <w:tr w:rsidR="00461C3E" w14:paraId="6FCDB280" w14:textId="77777777" w:rsidTr="006B5197">
        <w:trPr>
          <w:trHeight w:val="301"/>
        </w:trPr>
        <w:tc>
          <w:tcPr>
            <w:tcW w:w="3425" w:type="dxa"/>
          </w:tcPr>
          <w:p w14:paraId="17B16DA5" w14:textId="77777777" w:rsidR="00461C3E" w:rsidRPr="007C2164" w:rsidRDefault="00461C3E" w:rsidP="006B5197">
            <w:pPr>
              <w:pStyle w:val="BodyTextGrey"/>
              <w:spacing w:after="0" w:line="240" w:lineRule="auto"/>
            </w:pPr>
            <w:r w:rsidRPr="007C2164">
              <w:t>Date approved</w:t>
            </w:r>
          </w:p>
        </w:tc>
        <w:tc>
          <w:tcPr>
            <w:tcW w:w="3250" w:type="dxa"/>
          </w:tcPr>
          <w:p w14:paraId="0CC800A7" w14:textId="77777777" w:rsidR="00461C3E" w:rsidRPr="007C2164" w:rsidRDefault="00461C3E" w:rsidP="006B5197">
            <w:pPr>
              <w:pStyle w:val="BodyTextGrey"/>
              <w:spacing w:after="0" w:line="240" w:lineRule="auto"/>
            </w:pPr>
          </w:p>
        </w:tc>
      </w:tr>
      <w:tr w:rsidR="00461C3E" w14:paraId="16B5D1A5" w14:textId="77777777" w:rsidTr="006B5197">
        <w:trPr>
          <w:trHeight w:val="301"/>
        </w:trPr>
        <w:tc>
          <w:tcPr>
            <w:tcW w:w="3425" w:type="dxa"/>
          </w:tcPr>
          <w:p w14:paraId="4145BC4E" w14:textId="77777777" w:rsidR="00461C3E" w:rsidRPr="007C2164" w:rsidRDefault="00461C3E" w:rsidP="006B5197">
            <w:pPr>
              <w:pStyle w:val="BodyTextGrey"/>
              <w:spacing w:after="0" w:line="240" w:lineRule="auto"/>
            </w:pPr>
            <w:r w:rsidRPr="007C2164">
              <w:t>Next review</w:t>
            </w:r>
          </w:p>
        </w:tc>
        <w:tc>
          <w:tcPr>
            <w:tcW w:w="3250" w:type="dxa"/>
          </w:tcPr>
          <w:p w14:paraId="2B55D414" w14:textId="77777777" w:rsidR="00461C3E" w:rsidRPr="007C2164" w:rsidRDefault="00461C3E" w:rsidP="006B5197">
            <w:pPr>
              <w:pStyle w:val="BodyTextGrey"/>
              <w:spacing w:after="0" w:line="240" w:lineRule="auto"/>
            </w:pPr>
          </w:p>
        </w:tc>
      </w:tr>
    </w:tbl>
    <w:p w14:paraId="58385A44" w14:textId="11B658F3" w:rsidR="00461C3E" w:rsidRDefault="00461C3E" w:rsidP="00461C3E">
      <w:pPr>
        <w:pStyle w:val="NumberHymans"/>
        <w:numPr>
          <w:ilvl w:val="0"/>
          <w:numId w:val="84"/>
        </w:numPr>
      </w:pPr>
      <w:r>
        <w:t>Introduction</w:t>
      </w:r>
      <w:bookmarkEnd w:id="152"/>
    </w:p>
    <w:p w14:paraId="04EBCCCE" w14:textId="77777777" w:rsidR="00461C3E" w:rsidRDefault="00461C3E" w:rsidP="00461C3E">
      <w:pPr>
        <w:pStyle w:val="BodyTextGrey"/>
      </w:pPr>
      <w:r>
        <w:t xml:space="preserve">The purpose of this policy is to set out the administering authority’s approach to reviewing contribution rates between triennial valuations. </w:t>
      </w:r>
    </w:p>
    <w:p w14:paraId="651CB61A" w14:textId="77777777" w:rsidR="00461C3E" w:rsidRDefault="00461C3E" w:rsidP="00461C3E">
      <w:pPr>
        <w:pStyle w:val="BodyTextGrey"/>
      </w:pPr>
      <w:r>
        <w:t xml:space="preserve">It should be noted that this statement is not </w:t>
      </w:r>
      <w:proofErr w:type="gramStart"/>
      <w:r>
        <w:t>exhaustive</w:t>
      </w:r>
      <w:proofErr w:type="gramEnd"/>
      <w:r>
        <w:t xml:space="preserve"> and individual circumstances may be taken into consideration where appropriate.</w:t>
      </w:r>
    </w:p>
    <w:p w14:paraId="1982F74A" w14:textId="244C22B0" w:rsidR="00461C3E" w:rsidRDefault="00461C3E" w:rsidP="00461C3E">
      <w:pPr>
        <w:pStyle w:val="Heading2Num"/>
        <w:numPr>
          <w:ilvl w:val="1"/>
          <w:numId w:val="84"/>
        </w:numPr>
      </w:pPr>
      <w:r>
        <w:t>Aims and objectives</w:t>
      </w:r>
    </w:p>
    <w:p w14:paraId="50557E51" w14:textId="77777777" w:rsidR="00461C3E" w:rsidRDefault="00461C3E" w:rsidP="00461C3E">
      <w:pPr>
        <w:pStyle w:val="BodyTextGrey"/>
      </w:pPr>
      <w:r>
        <w:t xml:space="preserve">The administering authority’s aims and objectives related to this policy are as follows: </w:t>
      </w:r>
    </w:p>
    <w:p w14:paraId="7ADBB83F" w14:textId="77777777" w:rsidR="00461C3E" w:rsidRDefault="00461C3E" w:rsidP="00461C3E">
      <w:pPr>
        <w:pStyle w:val="BodyTextGrey"/>
        <w:numPr>
          <w:ilvl w:val="0"/>
          <w:numId w:val="83"/>
        </w:numPr>
      </w:pPr>
      <w:r>
        <w:t>To provide employers with clarity around the circumstances where contribution rates may be reviewed between valuations.</w:t>
      </w:r>
    </w:p>
    <w:p w14:paraId="5A384C62" w14:textId="77777777" w:rsidR="00461C3E" w:rsidRDefault="00461C3E" w:rsidP="00461C3E">
      <w:pPr>
        <w:pStyle w:val="BodyTextGrey"/>
        <w:numPr>
          <w:ilvl w:val="0"/>
          <w:numId w:val="83"/>
        </w:numPr>
      </w:pPr>
      <w:r>
        <w:t>To outline specific circumstances where contribution rates will not be reviewed.</w:t>
      </w:r>
    </w:p>
    <w:p w14:paraId="3CD7436A" w14:textId="77777777" w:rsidR="00461C3E" w:rsidRPr="004A7AFA" w:rsidRDefault="00461C3E" w:rsidP="00461C3E">
      <w:pPr>
        <w:pStyle w:val="Heading2Num"/>
        <w:numPr>
          <w:ilvl w:val="1"/>
          <w:numId w:val="84"/>
        </w:numPr>
      </w:pPr>
      <w:bookmarkStart w:id="153" w:name="_Toc16078815"/>
      <w:bookmarkStart w:id="154" w:name="_Toc86162838"/>
      <w:r>
        <w:t>Background</w:t>
      </w:r>
      <w:bookmarkEnd w:id="153"/>
      <w:bookmarkEnd w:id="154"/>
    </w:p>
    <w:p w14:paraId="2941FDFE" w14:textId="77777777" w:rsidR="00461C3E" w:rsidRDefault="00461C3E" w:rsidP="00461C3E">
      <w:pPr>
        <w:pStyle w:val="BodyTextGrey"/>
      </w:pPr>
      <w:r>
        <w:t>T</w:t>
      </w:r>
      <w:r w:rsidRPr="000966D8">
        <w:t xml:space="preserve">he Fund may amend contribution rates between valuations for </w:t>
      </w:r>
      <w:r>
        <w:t>‘</w:t>
      </w:r>
      <w:r w:rsidRPr="000966D8">
        <w:t>significant change</w:t>
      </w:r>
      <w:r>
        <w:t>’</w:t>
      </w:r>
      <w:r w:rsidRPr="000966D8">
        <w:t xml:space="preserve"> to the liabilities or covenant of an employer. </w:t>
      </w:r>
    </w:p>
    <w:p w14:paraId="63B9D3DC" w14:textId="77777777" w:rsidR="00461C3E" w:rsidRDefault="00461C3E" w:rsidP="00461C3E">
      <w:pPr>
        <w:pStyle w:val="BodyTextGrey"/>
      </w:pPr>
      <w:r>
        <w:t>Such reviews may be instigated by the fund or at the request of a participating employer.</w:t>
      </w:r>
    </w:p>
    <w:p w14:paraId="6B018FE9" w14:textId="77777777" w:rsidR="00461C3E" w:rsidRPr="001405A0" w:rsidRDefault="00461C3E" w:rsidP="00461C3E">
      <w:pPr>
        <w:pStyle w:val="BodyTextGrey"/>
      </w:pPr>
      <w:r>
        <w:rPr>
          <w:color w:val="45545F"/>
        </w:rPr>
        <w:t>A</w:t>
      </w:r>
      <w:r w:rsidRPr="004B478B">
        <w:rPr>
          <w:color w:val="45545F"/>
        </w:rPr>
        <w:t xml:space="preserve">ny review may </w:t>
      </w:r>
      <w:r>
        <w:rPr>
          <w:color w:val="45545F"/>
        </w:rPr>
        <w:t xml:space="preserve">lead to a change in the </w:t>
      </w:r>
      <w:r w:rsidRPr="004B478B">
        <w:rPr>
          <w:color w:val="45545F"/>
        </w:rPr>
        <w:t>require</w:t>
      </w:r>
      <w:r>
        <w:rPr>
          <w:color w:val="45545F"/>
        </w:rPr>
        <w:t xml:space="preserve">d </w:t>
      </w:r>
      <w:r w:rsidRPr="004B478B">
        <w:rPr>
          <w:color w:val="45545F"/>
        </w:rPr>
        <w:t>contributions</w:t>
      </w:r>
      <w:r>
        <w:rPr>
          <w:color w:val="45545F"/>
        </w:rPr>
        <w:t xml:space="preserve"> from the employer</w:t>
      </w:r>
      <w:r w:rsidRPr="004B478B">
        <w:rPr>
          <w:color w:val="45545F"/>
        </w:rPr>
        <w:t>.</w:t>
      </w:r>
    </w:p>
    <w:p w14:paraId="35FADA8D" w14:textId="77777777" w:rsidR="00461C3E" w:rsidRPr="00B02373" w:rsidRDefault="00461C3E" w:rsidP="00461C3E">
      <w:pPr>
        <w:pStyle w:val="Heading2Num"/>
        <w:numPr>
          <w:ilvl w:val="1"/>
          <w:numId w:val="84"/>
        </w:numPr>
      </w:pPr>
      <w:r w:rsidRPr="002F2AAA">
        <w:t xml:space="preserve">Guidance and </w:t>
      </w:r>
      <w:r>
        <w:t>r</w:t>
      </w:r>
      <w:r w:rsidRPr="002F2AAA">
        <w:t>egulatory framework</w:t>
      </w:r>
    </w:p>
    <w:p w14:paraId="739F2544" w14:textId="77777777" w:rsidR="00461C3E" w:rsidRDefault="00461C3E" w:rsidP="00461C3E">
      <w:pPr>
        <w:pStyle w:val="BodyTextGrey"/>
      </w:pPr>
      <w:hyperlink r:id="rId25" w:anchor="r64" w:history="1">
        <w:r w:rsidRPr="009F4F04">
          <w:rPr>
            <w:rStyle w:val="Hyperlink"/>
          </w:rPr>
          <w:t>Regulation 64</w:t>
        </w:r>
      </w:hyperlink>
      <w:r>
        <w:t xml:space="preserve"> of the Local Government Pension Scheme Regulations 2013 (as amended) sets out the way in which LGPS funds should determine employer contributions, including the </w:t>
      </w:r>
      <w:proofErr w:type="gramStart"/>
      <w:r>
        <w:t>following;</w:t>
      </w:r>
      <w:proofErr w:type="gramEnd"/>
    </w:p>
    <w:p w14:paraId="3B659DEF" w14:textId="77777777" w:rsidR="00461C3E" w:rsidRDefault="00461C3E" w:rsidP="00461C3E">
      <w:pPr>
        <w:pStyle w:val="BodyTextGrey"/>
        <w:numPr>
          <w:ilvl w:val="0"/>
          <w:numId w:val="83"/>
        </w:numPr>
      </w:pPr>
      <w:r>
        <w:t>Regulation 64 (4) – allows the administering authority to review the contribution rate if it becomes likely that an employer will cease participation in the fund, with a view to ensuring that the employer is fully funded at the expected exit date.</w:t>
      </w:r>
    </w:p>
    <w:p w14:paraId="4468B9F5" w14:textId="77777777" w:rsidR="00461C3E" w:rsidRDefault="00461C3E" w:rsidP="00461C3E">
      <w:pPr>
        <w:pStyle w:val="BodyTextGrey"/>
        <w:numPr>
          <w:ilvl w:val="0"/>
          <w:numId w:val="83"/>
        </w:numPr>
      </w:pPr>
      <w:r>
        <w:t xml:space="preserve">Regulation 64A - sets out specific circumstances where the administering authority may revise contributions between valuations (including where a review is requested by one or more employers). </w:t>
      </w:r>
    </w:p>
    <w:p w14:paraId="00B2C792" w14:textId="77777777" w:rsidR="00461C3E" w:rsidRDefault="00461C3E" w:rsidP="00461C3E">
      <w:r w:rsidRPr="007059DA">
        <w:rPr>
          <w:color w:val="455560"/>
          <w:lang w:eastAsia="en-US"/>
        </w:rPr>
        <w:t xml:space="preserve">This policy also reflects </w:t>
      </w:r>
      <w:hyperlink r:id="rId26" w:history="1">
        <w:r>
          <w:rPr>
            <w:rStyle w:val="Hyperlink"/>
            <w:lang w:eastAsia="en-US"/>
          </w:rPr>
          <w:t>statutory guidance</w:t>
        </w:r>
      </w:hyperlink>
      <w:r w:rsidRPr="007059DA">
        <w:rPr>
          <w:color w:val="455560"/>
          <w:lang w:eastAsia="en-US"/>
        </w:rPr>
        <w:t xml:space="preserve"> from the Department for Levelling Up, Housing and Communities on preparing and maintaining policies relating to </w:t>
      </w:r>
      <w:r>
        <w:rPr>
          <w:color w:val="455560"/>
          <w:lang w:eastAsia="en-US"/>
        </w:rPr>
        <w:t>the review of employer contributions</w:t>
      </w:r>
      <w:r w:rsidRPr="007059DA">
        <w:rPr>
          <w:color w:val="455560"/>
          <w:lang w:eastAsia="en-US"/>
        </w:rPr>
        <w:t xml:space="preserve">. Interested parties may want to refer to an accompanying </w:t>
      </w:r>
      <w:hyperlink r:id="rId27" w:history="1">
        <w:r>
          <w:rPr>
            <w:rStyle w:val="Hyperlink"/>
            <w:lang w:eastAsia="en-US"/>
          </w:rPr>
          <w:t>guide</w:t>
        </w:r>
      </w:hyperlink>
      <w:r w:rsidRPr="007059DA">
        <w:rPr>
          <w:color w:val="455560"/>
          <w:lang w:eastAsia="en-US"/>
        </w:rPr>
        <w:t xml:space="preserve"> that has been produced by the Scheme Advisory Board.</w:t>
      </w:r>
    </w:p>
    <w:p w14:paraId="659EDE2A" w14:textId="77777777" w:rsidR="00461C3E" w:rsidRDefault="00461C3E" w:rsidP="00461C3E">
      <w:pPr>
        <w:spacing w:after="20" w:line="240" w:lineRule="auto"/>
        <w:jc w:val="left"/>
        <w:rPr>
          <w:rFonts w:cs="Times New Roman"/>
          <w:iCs w:val="0"/>
          <w:color w:val="3FA6CC"/>
          <w:kern w:val="28"/>
          <w:sz w:val="36"/>
          <w:lang w:eastAsia="en-US"/>
        </w:rPr>
      </w:pPr>
      <w:r>
        <w:br w:type="page"/>
      </w:r>
    </w:p>
    <w:p w14:paraId="1ABDDEF5" w14:textId="77777777" w:rsidR="00461C3E" w:rsidRDefault="00461C3E" w:rsidP="00461C3E">
      <w:pPr>
        <w:pStyle w:val="NumberHymans"/>
      </w:pPr>
      <w:r>
        <w:lastRenderedPageBreak/>
        <w:t>Statement of principles</w:t>
      </w:r>
    </w:p>
    <w:p w14:paraId="011F18F3" w14:textId="77777777" w:rsidR="00461C3E" w:rsidRDefault="00461C3E" w:rsidP="00461C3E">
      <w:pPr>
        <w:pStyle w:val="BodyTextGrey"/>
      </w:pPr>
      <w:r>
        <w:t>This statement of principles covers review of contributions between valuations. Each case will be treated on its own merits, but in general:</w:t>
      </w:r>
    </w:p>
    <w:p w14:paraId="210CE1BE" w14:textId="77777777" w:rsidR="00461C3E" w:rsidRDefault="00461C3E" w:rsidP="00461C3E">
      <w:pPr>
        <w:pStyle w:val="BodyTextGrey"/>
        <w:numPr>
          <w:ilvl w:val="0"/>
          <w:numId w:val="83"/>
        </w:numPr>
      </w:pPr>
      <w:r>
        <w:t>The administering authority reserves the right to review contributions in line with the provisions set out in the LGPS Regulations.</w:t>
      </w:r>
    </w:p>
    <w:p w14:paraId="063D0A19" w14:textId="77777777" w:rsidR="00461C3E" w:rsidRDefault="00461C3E" w:rsidP="00461C3E">
      <w:pPr>
        <w:pStyle w:val="BodyTextGrey"/>
        <w:numPr>
          <w:ilvl w:val="0"/>
          <w:numId w:val="83"/>
        </w:numPr>
      </w:pPr>
      <w:r>
        <w:t>The decision to make a change to contribution rates rests with the administering authority, subject to consultation with employers during the review period.</w:t>
      </w:r>
    </w:p>
    <w:p w14:paraId="6EB9186A" w14:textId="77777777" w:rsidR="00461C3E" w:rsidRDefault="00461C3E" w:rsidP="00461C3E">
      <w:pPr>
        <w:pStyle w:val="BodyTextGrey"/>
        <w:numPr>
          <w:ilvl w:val="0"/>
          <w:numId w:val="83"/>
        </w:numPr>
      </w:pPr>
      <w:r>
        <w:t>Full justification for any change in contribution rates will be provided to employers.</w:t>
      </w:r>
    </w:p>
    <w:p w14:paraId="4DEA8CF6" w14:textId="77777777" w:rsidR="00461C3E" w:rsidRDefault="00461C3E" w:rsidP="00461C3E">
      <w:pPr>
        <w:pStyle w:val="BodyTextGrey"/>
        <w:numPr>
          <w:ilvl w:val="0"/>
          <w:numId w:val="83"/>
        </w:numPr>
      </w:pPr>
      <w:r>
        <w:t>Advice will be taken from the fund actuary in respect of any review of contribution rates.</w:t>
      </w:r>
    </w:p>
    <w:p w14:paraId="3A2E918F" w14:textId="77777777" w:rsidR="00461C3E" w:rsidRDefault="00461C3E" w:rsidP="00461C3E">
      <w:pPr>
        <w:pStyle w:val="BodyTextGrey"/>
        <w:numPr>
          <w:ilvl w:val="0"/>
          <w:numId w:val="83"/>
        </w:numPr>
      </w:pPr>
      <w:r>
        <w:t>Any revision to contribution rates will be reflected in the Rates &amp; Adjustment certificate.</w:t>
      </w:r>
    </w:p>
    <w:p w14:paraId="2792ECC6" w14:textId="77777777" w:rsidR="00461C3E" w:rsidRDefault="00461C3E" w:rsidP="00461C3E">
      <w:pPr>
        <w:pStyle w:val="NumberHymans"/>
      </w:pPr>
      <w:r>
        <w:t>Policy</w:t>
      </w:r>
    </w:p>
    <w:p w14:paraId="4A9228E4" w14:textId="77777777" w:rsidR="00461C3E" w:rsidRDefault="00461C3E" w:rsidP="00461C3E">
      <w:pPr>
        <w:pStyle w:val="Heading2Num"/>
        <w:numPr>
          <w:ilvl w:val="1"/>
          <w:numId w:val="84"/>
        </w:numPr>
      </w:pPr>
      <w:r>
        <w:t>Circumstances for review</w:t>
      </w:r>
    </w:p>
    <w:p w14:paraId="64379F2C" w14:textId="77777777" w:rsidR="00461C3E" w:rsidRDefault="00461C3E" w:rsidP="00461C3E">
      <w:pPr>
        <w:pStyle w:val="BodyTextGrey"/>
      </w:pPr>
      <w:r w:rsidRPr="000966D8">
        <w:t xml:space="preserve">The </w:t>
      </w:r>
      <w:r>
        <w:t>f</w:t>
      </w:r>
      <w:r w:rsidRPr="000966D8">
        <w:t xml:space="preserve">und would consider the following circumstances as a potential trigger for review: </w:t>
      </w:r>
    </w:p>
    <w:p w14:paraId="44E24DD9" w14:textId="77777777" w:rsidR="00461C3E" w:rsidRPr="000966D8" w:rsidRDefault="00461C3E" w:rsidP="00461C3E">
      <w:pPr>
        <w:pStyle w:val="BodyTextGrey"/>
        <w:numPr>
          <w:ilvl w:val="0"/>
          <w:numId w:val="83"/>
        </w:numPr>
      </w:pPr>
      <w:r w:rsidRPr="000966D8">
        <w:t xml:space="preserve">in the opinion of an </w:t>
      </w:r>
      <w:r>
        <w:t>a</w:t>
      </w:r>
      <w:r w:rsidRPr="000966D8">
        <w:t xml:space="preserve">dministering </w:t>
      </w:r>
      <w:r>
        <w:t>a</w:t>
      </w:r>
      <w:r w:rsidRPr="000966D8">
        <w:t xml:space="preserve">uthority there are circumstances which make it likely that an employer (including an admission body) will become an </w:t>
      </w:r>
      <w:proofErr w:type="spellStart"/>
      <w:r w:rsidRPr="000966D8">
        <w:t>exiting</w:t>
      </w:r>
      <w:proofErr w:type="spellEnd"/>
      <w:r w:rsidRPr="000966D8">
        <w:t xml:space="preserve"> employer sooner than anticipated at the last </w:t>
      </w:r>
      <w:proofErr w:type="gramStart"/>
      <w:r w:rsidRPr="000966D8">
        <w:t>valuation;</w:t>
      </w:r>
      <w:proofErr w:type="gramEnd"/>
    </w:p>
    <w:p w14:paraId="38D16921" w14:textId="77777777" w:rsidR="00461C3E" w:rsidRPr="000966D8" w:rsidRDefault="00461C3E" w:rsidP="00461C3E">
      <w:pPr>
        <w:pStyle w:val="BodyTextGrey"/>
        <w:numPr>
          <w:ilvl w:val="0"/>
          <w:numId w:val="83"/>
        </w:numPr>
      </w:pPr>
      <w:r w:rsidRPr="000966D8">
        <w:t xml:space="preserve">an employer is approaching exit from the </w:t>
      </w:r>
      <w:r>
        <w:t>fund</w:t>
      </w:r>
      <w:r w:rsidRPr="000966D8">
        <w:t xml:space="preserve"> within the </w:t>
      </w:r>
      <w:r w:rsidRPr="00ED1057">
        <w:t>next two years</w:t>
      </w:r>
      <w:r w:rsidRPr="000966D8">
        <w:t xml:space="preserve"> and before completion of the next </w:t>
      </w:r>
      <w:r>
        <w:t xml:space="preserve">triennial </w:t>
      </w:r>
      <w:proofErr w:type="gramStart"/>
      <w:r w:rsidRPr="000966D8">
        <w:t>valuation;</w:t>
      </w:r>
      <w:proofErr w:type="gramEnd"/>
      <w:r w:rsidRPr="000966D8">
        <w:t xml:space="preserve"> </w:t>
      </w:r>
    </w:p>
    <w:p w14:paraId="54BAF506" w14:textId="77777777" w:rsidR="00461C3E" w:rsidRPr="000966D8" w:rsidRDefault="00461C3E" w:rsidP="00461C3E">
      <w:pPr>
        <w:pStyle w:val="BodyTextGrey"/>
        <w:numPr>
          <w:ilvl w:val="0"/>
          <w:numId w:val="83"/>
        </w:numPr>
      </w:pPr>
      <w:r w:rsidRPr="000966D8">
        <w:t xml:space="preserve">there are changes to the benefit structure set out in the LGPS Regulations which have not been allowed for at the last </w:t>
      </w:r>
      <w:proofErr w:type="gramStart"/>
      <w:r w:rsidRPr="000966D8">
        <w:t>valuation;</w:t>
      </w:r>
      <w:proofErr w:type="gramEnd"/>
    </w:p>
    <w:p w14:paraId="2356BF73" w14:textId="77777777" w:rsidR="00461C3E" w:rsidRPr="000966D8" w:rsidRDefault="00461C3E" w:rsidP="00461C3E">
      <w:pPr>
        <w:pStyle w:val="BodyTextGrey"/>
        <w:numPr>
          <w:ilvl w:val="0"/>
          <w:numId w:val="83"/>
        </w:numPr>
      </w:pPr>
      <w:r w:rsidRPr="000966D8">
        <w:t xml:space="preserve">it appears likely to the </w:t>
      </w:r>
      <w:hyperlink r:id="rId28" w:anchor="s1adau" w:history="1">
        <w:r>
          <w:t>administering</w:t>
        </w:r>
      </w:hyperlink>
      <w:r>
        <w:t xml:space="preserve"> authority</w:t>
      </w:r>
      <w:r w:rsidRPr="000966D8">
        <w:t xml:space="preserve"> that the amount of the liabilities arising or likely to arise for an employer or employers has changed significantly since the last valuation;</w:t>
      </w:r>
    </w:p>
    <w:p w14:paraId="51FB5134" w14:textId="77777777" w:rsidR="00461C3E" w:rsidRPr="000966D8" w:rsidRDefault="00461C3E" w:rsidP="00461C3E">
      <w:pPr>
        <w:pStyle w:val="BodyTextGrey"/>
        <w:numPr>
          <w:ilvl w:val="0"/>
          <w:numId w:val="83"/>
        </w:numPr>
      </w:pPr>
      <w:r w:rsidRPr="000966D8">
        <w:t xml:space="preserve">it appears likely to the </w:t>
      </w:r>
      <w:r>
        <w:t>a</w:t>
      </w:r>
      <w:r w:rsidRPr="000966D8">
        <w:t xml:space="preserve">dministering </w:t>
      </w:r>
      <w:r>
        <w:t>a</w:t>
      </w:r>
      <w:r w:rsidRPr="000966D8">
        <w:t>uthority that there has been a significant change in the ability of an employer or employers to meet their obligations (</w:t>
      </w:r>
      <w:r>
        <w:t xml:space="preserve">e.g. </w:t>
      </w:r>
      <w:r w:rsidRPr="000966D8">
        <w:t>a material change in employer covenant</w:t>
      </w:r>
      <w:r>
        <w:t>, or provision of additional security</w:t>
      </w:r>
      <w:proofErr w:type="gramStart"/>
      <w:r w:rsidRPr="000966D8">
        <w:t>);</w:t>
      </w:r>
      <w:proofErr w:type="gramEnd"/>
      <w:r w:rsidRPr="000966D8">
        <w:t xml:space="preserve"> </w:t>
      </w:r>
    </w:p>
    <w:p w14:paraId="31671B19" w14:textId="77777777" w:rsidR="00461C3E" w:rsidRPr="000966D8" w:rsidRDefault="00461C3E" w:rsidP="00461C3E">
      <w:pPr>
        <w:pStyle w:val="BodyTextGrey"/>
        <w:numPr>
          <w:ilvl w:val="0"/>
          <w:numId w:val="83"/>
        </w:numPr>
      </w:pPr>
      <w:r w:rsidRPr="000966D8">
        <w:t xml:space="preserve">it appears to the </w:t>
      </w:r>
      <w:r>
        <w:t>a</w:t>
      </w:r>
      <w:r w:rsidRPr="000966D8">
        <w:t xml:space="preserve">dministering </w:t>
      </w:r>
      <w:r>
        <w:t>a</w:t>
      </w:r>
      <w:r w:rsidRPr="000966D8">
        <w:t xml:space="preserve">uthority that the membership of the employer has changed materially such as bulk transfers, significant reductions to payroll or large-scale restructuring; or </w:t>
      </w:r>
    </w:p>
    <w:p w14:paraId="5B875470" w14:textId="77777777" w:rsidR="00461C3E" w:rsidRDefault="00461C3E" w:rsidP="00461C3E">
      <w:pPr>
        <w:pStyle w:val="BodyTextGrey"/>
        <w:numPr>
          <w:ilvl w:val="0"/>
          <w:numId w:val="83"/>
        </w:numPr>
      </w:pPr>
      <w:r w:rsidRPr="000966D8">
        <w:t xml:space="preserve">where an employer has failed to pay contributions or has not arranged appropriate security as required by the </w:t>
      </w:r>
      <w:r>
        <w:t>a</w:t>
      </w:r>
      <w:r w:rsidRPr="000966D8">
        <w:t xml:space="preserve">dministering </w:t>
      </w:r>
      <w:r>
        <w:t>a</w:t>
      </w:r>
      <w:r w:rsidRPr="000966D8">
        <w:t>uthority.</w:t>
      </w:r>
    </w:p>
    <w:p w14:paraId="71BF3C07" w14:textId="77777777" w:rsidR="00461C3E" w:rsidRPr="001405A0" w:rsidRDefault="00461C3E" w:rsidP="00461C3E">
      <w:pPr>
        <w:pStyle w:val="Heading2Num"/>
        <w:numPr>
          <w:ilvl w:val="1"/>
          <w:numId w:val="84"/>
        </w:numPr>
      </w:pPr>
      <w:r>
        <w:t xml:space="preserve">Employer requests </w:t>
      </w:r>
    </w:p>
    <w:p w14:paraId="506ED599" w14:textId="77777777" w:rsidR="00461C3E" w:rsidRDefault="00461C3E" w:rsidP="00461C3E">
      <w:pPr>
        <w:pStyle w:val="BodyTextGrey"/>
      </w:pPr>
      <w:r w:rsidRPr="001405A0">
        <w:t xml:space="preserve">The </w:t>
      </w:r>
      <w:r>
        <w:t>a</w:t>
      </w:r>
      <w:r w:rsidRPr="001405A0">
        <w:t xml:space="preserve">dministering </w:t>
      </w:r>
      <w:r>
        <w:t>a</w:t>
      </w:r>
      <w:r w:rsidRPr="001405A0">
        <w:t>uthority will also consider a request from any employer to review contributions where the employer has undertaken to meet the costs of that review and sets out the reasoning for the review (which would be expected to fall into one of the above categories, such as a belief that their covenant has changed materially, or they are going through a significant restructuring impacting their membership).</w:t>
      </w:r>
    </w:p>
    <w:p w14:paraId="47052E91" w14:textId="77777777" w:rsidR="00461C3E" w:rsidRDefault="00461C3E" w:rsidP="00461C3E">
      <w:pPr>
        <w:pStyle w:val="BodyTextGrey"/>
      </w:pPr>
      <w:r>
        <w:t>The administering authority will require additional information to support a contribution review made at the employer’s request.  The specific requirements will be confirmed following any request and this is likely to include the following:</w:t>
      </w:r>
    </w:p>
    <w:p w14:paraId="2CD83E4E" w14:textId="77777777" w:rsidR="00461C3E" w:rsidRDefault="00461C3E" w:rsidP="00461C3E">
      <w:pPr>
        <w:pStyle w:val="BodyTextGrey"/>
        <w:numPr>
          <w:ilvl w:val="0"/>
          <w:numId w:val="83"/>
        </w:numPr>
      </w:pPr>
      <w:r>
        <w:t xml:space="preserve">a copy of the </w:t>
      </w:r>
      <w:r w:rsidRPr="00D56D22">
        <w:t xml:space="preserve">latest </w:t>
      </w:r>
      <w:proofErr w:type="gramStart"/>
      <w:r w:rsidRPr="00D56D22">
        <w:t>accounts</w:t>
      </w:r>
      <w:r>
        <w:t>;</w:t>
      </w:r>
      <w:proofErr w:type="gramEnd"/>
      <w:r w:rsidRPr="00D56D22">
        <w:t xml:space="preserve"> </w:t>
      </w:r>
    </w:p>
    <w:p w14:paraId="7EDAF0B4" w14:textId="77777777" w:rsidR="00461C3E" w:rsidRDefault="00461C3E" w:rsidP="00461C3E">
      <w:pPr>
        <w:pStyle w:val="BodyTextGrey"/>
        <w:numPr>
          <w:ilvl w:val="0"/>
          <w:numId w:val="83"/>
        </w:numPr>
      </w:pPr>
      <w:r w:rsidRPr="00D56D22">
        <w:lastRenderedPageBreak/>
        <w:t>details of any additional security being offered (which may include insurance certificates</w:t>
      </w:r>
      <w:proofErr w:type="gramStart"/>
      <w:r w:rsidRPr="00D56D22">
        <w:t>)</w:t>
      </w:r>
      <w:r>
        <w:t>;</w:t>
      </w:r>
      <w:proofErr w:type="gramEnd"/>
    </w:p>
    <w:p w14:paraId="30511656" w14:textId="77777777" w:rsidR="00461C3E" w:rsidRDefault="00461C3E" w:rsidP="00461C3E">
      <w:pPr>
        <w:pStyle w:val="BodyTextGrey"/>
        <w:numPr>
          <w:ilvl w:val="0"/>
          <w:numId w:val="83"/>
        </w:numPr>
      </w:pPr>
      <w:r w:rsidRPr="00D56D22">
        <w:t>budget forecasts</w:t>
      </w:r>
      <w:r>
        <w:t>; and/or</w:t>
      </w:r>
    </w:p>
    <w:p w14:paraId="31D2BF47" w14:textId="77777777" w:rsidR="00461C3E" w:rsidRDefault="00461C3E" w:rsidP="00461C3E">
      <w:pPr>
        <w:pStyle w:val="BodyTextGrey"/>
        <w:numPr>
          <w:ilvl w:val="0"/>
          <w:numId w:val="83"/>
        </w:numPr>
      </w:pPr>
      <w:r w:rsidRPr="00D56D22">
        <w:t>information relating to sources of funding</w:t>
      </w:r>
      <w:r>
        <w:t>.</w:t>
      </w:r>
    </w:p>
    <w:p w14:paraId="7D00DF0E" w14:textId="77777777" w:rsidR="00461C3E" w:rsidRDefault="00461C3E" w:rsidP="00461C3E">
      <w:pPr>
        <w:pStyle w:val="BodyTextGrey"/>
      </w:pPr>
      <w:r>
        <w:t xml:space="preserve">The costs incurred by the administering authority in carrying out a contribution review (at the employer’s request) will be met by the employer. These will be confirmed </w:t>
      </w:r>
      <w:r w:rsidRPr="00D56D22">
        <w:t>upfront to the employer prior to the review taking place</w:t>
      </w:r>
      <w:r>
        <w:t>.</w:t>
      </w:r>
    </w:p>
    <w:p w14:paraId="257A1B3E" w14:textId="77777777" w:rsidR="00461C3E" w:rsidRDefault="00461C3E" w:rsidP="00461C3E">
      <w:pPr>
        <w:pStyle w:val="Heading2Num"/>
        <w:numPr>
          <w:ilvl w:val="1"/>
          <w:numId w:val="84"/>
        </w:numPr>
      </w:pPr>
      <w:r>
        <w:t>Other employers</w:t>
      </w:r>
    </w:p>
    <w:p w14:paraId="5873D670" w14:textId="77777777" w:rsidR="00461C3E" w:rsidRPr="00FD0A45" w:rsidRDefault="00461C3E" w:rsidP="00461C3E">
      <w:pPr>
        <w:pStyle w:val="BodyTextGrey"/>
      </w:pPr>
      <w:r w:rsidRPr="00FD0A45">
        <w:t xml:space="preserve">When undertaking </w:t>
      </w:r>
      <w:r>
        <w:t>any review of contributions</w:t>
      </w:r>
      <w:r w:rsidRPr="00FD0A45">
        <w:t xml:space="preserve">, the administering authority will also consider the impact of a change to contribution rates on other </w:t>
      </w:r>
      <w:r>
        <w:t>f</w:t>
      </w:r>
      <w:r w:rsidRPr="00FD0A45">
        <w:t xml:space="preserve">und employers. This will include </w:t>
      </w:r>
      <w:r>
        <w:t xml:space="preserve">the following </w:t>
      </w:r>
      <w:r w:rsidRPr="00FD0A45">
        <w:t>factors:</w:t>
      </w:r>
    </w:p>
    <w:p w14:paraId="6EF67A60" w14:textId="77777777" w:rsidR="00461C3E" w:rsidRDefault="00461C3E" w:rsidP="00461C3E">
      <w:pPr>
        <w:pStyle w:val="BodyTextGrey"/>
        <w:numPr>
          <w:ilvl w:val="0"/>
          <w:numId w:val="83"/>
        </w:numPr>
      </w:pPr>
      <w:r>
        <w:t xml:space="preserve">The existence of a </w:t>
      </w:r>
      <w:r w:rsidRPr="00FD0A45">
        <w:t>guarantor</w:t>
      </w:r>
      <w:r>
        <w:t>.</w:t>
      </w:r>
    </w:p>
    <w:p w14:paraId="00C1A01A" w14:textId="77777777" w:rsidR="00461C3E" w:rsidRDefault="00461C3E" w:rsidP="00461C3E">
      <w:pPr>
        <w:pStyle w:val="BodyTextGrey"/>
        <w:numPr>
          <w:ilvl w:val="0"/>
          <w:numId w:val="83"/>
        </w:numPr>
      </w:pPr>
      <w:r>
        <w:t>T</w:t>
      </w:r>
      <w:r w:rsidRPr="00FD0A45">
        <w:t>he amount of any other security held</w:t>
      </w:r>
      <w:r>
        <w:t>.</w:t>
      </w:r>
    </w:p>
    <w:p w14:paraId="1F27B63A" w14:textId="77777777" w:rsidR="00461C3E" w:rsidRDefault="00461C3E" w:rsidP="00461C3E">
      <w:pPr>
        <w:pStyle w:val="BodyTextGrey"/>
        <w:numPr>
          <w:ilvl w:val="0"/>
          <w:numId w:val="83"/>
        </w:numPr>
      </w:pPr>
      <w:r>
        <w:t>T</w:t>
      </w:r>
      <w:r w:rsidRPr="00FD0A45">
        <w:t xml:space="preserve">he size of the employer’s liabilities </w:t>
      </w:r>
      <w:r>
        <w:t>relative to the whole fund.</w:t>
      </w:r>
    </w:p>
    <w:p w14:paraId="51868C10" w14:textId="77777777" w:rsidR="00461C3E" w:rsidRDefault="00461C3E" w:rsidP="00461C3E">
      <w:pPr>
        <w:pStyle w:val="BodyTextGrey"/>
      </w:pPr>
      <w:r>
        <w:t>The administering authority will consult with other fund employers as necessary.</w:t>
      </w:r>
    </w:p>
    <w:p w14:paraId="31B8219C" w14:textId="77777777" w:rsidR="00461C3E" w:rsidRPr="001405A0" w:rsidRDefault="00461C3E" w:rsidP="00461C3E">
      <w:pPr>
        <w:pStyle w:val="Heading2Num"/>
        <w:numPr>
          <w:ilvl w:val="1"/>
          <w:numId w:val="84"/>
        </w:numPr>
        <w:rPr>
          <w:color w:val="45545F"/>
        </w:rPr>
      </w:pPr>
      <w:r>
        <w:t xml:space="preserve">Effect of market volatility </w:t>
      </w:r>
    </w:p>
    <w:p w14:paraId="7FEE2D18" w14:textId="77777777" w:rsidR="00461C3E" w:rsidRDefault="00461C3E" w:rsidP="00461C3E">
      <w:pPr>
        <w:pStyle w:val="BodyTextGrey"/>
        <w:rPr>
          <w:rFonts w:eastAsia="Arial"/>
          <w:color w:val="45545F"/>
        </w:rPr>
      </w:pPr>
      <w:r w:rsidRPr="004B478B">
        <w:rPr>
          <w:color w:val="45545F"/>
        </w:rPr>
        <w:t xml:space="preserve">Except in circumstances such as an employer nearing cessation, the </w:t>
      </w:r>
      <w:r>
        <w:rPr>
          <w:color w:val="45545F"/>
        </w:rPr>
        <w:t>a</w:t>
      </w:r>
      <w:r w:rsidRPr="004B478B">
        <w:rPr>
          <w:color w:val="45545F"/>
        </w:rPr>
        <w:t xml:space="preserve">dministering </w:t>
      </w:r>
      <w:r>
        <w:rPr>
          <w:color w:val="45545F"/>
        </w:rPr>
        <w:t>a</w:t>
      </w:r>
      <w:r w:rsidRPr="004B478B">
        <w:rPr>
          <w:color w:val="45545F"/>
        </w:rPr>
        <w:t>uthority will not consider market volatility or changes to asset values as a basis for a change in contributions outside a formal valuation.</w:t>
      </w:r>
      <w:r w:rsidRPr="004B478B">
        <w:rPr>
          <w:rFonts w:eastAsia="Arial"/>
          <w:color w:val="45545F"/>
        </w:rPr>
        <w:t xml:space="preserve"> </w:t>
      </w:r>
    </w:p>
    <w:p w14:paraId="6F44E03C" w14:textId="77777777" w:rsidR="00461C3E" w:rsidRDefault="00461C3E" w:rsidP="00461C3E">
      <w:pPr>
        <w:pStyle w:val="Heading2Num"/>
        <w:numPr>
          <w:ilvl w:val="1"/>
          <w:numId w:val="84"/>
        </w:numPr>
      </w:pPr>
      <w:r>
        <w:t>Documentation</w:t>
      </w:r>
    </w:p>
    <w:p w14:paraId="405B5B01" w14:textId="77777777" w:rsidR="00461C3E" w:rsidRDefault="00461C3E" w:rsidP="00461C3E">
      <w:pPr>
        <w:pStyle w:val="BodyTextGrey"/>
      </w:pPr>
      <w:r>
        <w:t>Where revisions to contribution rates are necessary, the fund will provide the employer with a note of the information used to determine these, including:</w:t>
      </w:r>
    </w:p>
    <w:p w14:paraId="0BBEFCEC" w14:textId="77777777" w:rsidR="00461C3E" w:rsidRDefault="00461C3E" w:rsidP="00461C3E">
      <w:pPr>
        <w:pStyle w:val="BodyTextGrey"/>
        <w:numPr>
          <w:ilvl w:val="0"/>
          <w:numId w:val="83"/>
        </w:numPr>
      </w:pPr>
      <w:r>
        <w:t>Explanation of the key factors leading to the need for a review of the contribution rates, including, if appropriate, the updated funding position.</w:t>
      </w:r>
    </w:p>
    <w:p w14:paraId="38F9AF1E" w14:textId="77777777" w:rsidR="00461C3E" w:rsidRDefault="00461C3E" w:rsidP="00461C3E">
      <w:pPr>
        <w:pStyle w:val="BodyTextGrey"/>
        <w:numPr>
          <w:ilvl w:val="0"/>
          <w:numId w:val="83"/>
        </w:numPr>
      </w:pPr>
      <w:r>
        <w:t>A note of the new contribution rates and effective date of these.</w:t>
      </w:r>
    </w:p>
    <w:p w14:paraId="5DBFF361" w14:textId="77777777" w:rsidR="00461C3E" w:rsidRDefault="00461C3E" w:rsidP="00461C3E">
      <w:pPr>
        <w:pStyle w:val="BodyTextGrey"/>
        <w:numPr>
          <w:ilvl w:val="0"/>
          <w:numId w:val="83"/>
        </w:numPr>
      </w:pPr>
      <w:r>
        <w:t>Date of next review.</w:t>
      </w:r>
    </w:p>
    <w:p w14:paraId="27E8B624" w14:textId="77777777" w:rsidR="00461C3E" w:rsidRDefault="00461C3E" w:rsidP="00461C3E">
      <w:pPr>
        <w:pStyle w:val="BodyTextGrey"/>
        <w:numPr>
          <w:ilvl w:val="0"/>
          <w:numId w:val="83"/>
        </w:numPr>
      </w:pPr>
      <w:r>
        <w:t xml:space="preserve">Details of any processes in place to monitor any change in the employer’s circumstances (if appropriate), including information required by the administering authority to carry out this monitoring. </w:t>
      </w:r>
    </w:p>
    <w:p w14:paraId="25A05E1E" w14:textId="77777777" w:rsidR="00461C3E" w:rsidRDefault="00461C3E" w:rsidP="00461C3E">
      <w:pPr>
        <w:pStyle w:val="BodyTextGrey"/>
      </w:pPr>
      <w:r>
        <w:t>The Rates &amp; Adjustments certificate will be updated to reflect the revised contribution rates.</w:t>
      </w:r>
    </w:p>
    <w:p w14:paraId="144772FA" w14:textId="77777777" w:rsidR="00461C3E" w:rsidRDefault="00461C3E" w:rsidP="00461C3E">
      <w:pPr>
        <w:pStyle w:val="NumberHymans"/>
      </w:pPr>
      <w:bookmarkStart w:id="155" w:name="_Toc86162860"/>
      <w:r>
        <w:t>Related Policies</w:t>
      </w:r>
      <w:bookmarkEnd w:id="155"/>
    </w:p>
    <w:p w14:paraId="14129EA4" w14:textId="77777777" w:rsidR="00461C3E" w:rsidRDefault="00461C3E" w:rsidP="00461C3E">
      <w:pPr>
        <w:pStyle w:val="Heading1Num"/>
        <w:numPr>
          <w:ilvl w:val="0"/>
          <w:numId w:val="0"/>
        </w:numPr>
        <w:spacing w:before="20" w:after="200" w:line="280" w:lineRule="atLeast"/>
        <w:rPr>
          <w:rFonts w:cs="Arial"/>
          <w:iCs/>
          <w:color w:val="455560" w:themeColor="accent5"/>
          <w:kern w:val="0"/>
          <w:sz w:val="20"/>
        </w:rPr>
      </w:pPr>
      <w:r w:rsidRPr="00B02373">
        <w:rPr>
          <w:rFonts w:cs="Arial"/>
          <w:iCs/>
          <w:color w:val="455560" w:themeColor="accent5"/>
          <w:kern w:val="0"/>
          <w:sz w:val="20"/>
        </w:rPr>
        <w:t xml:space="preserve">The </w:t>
      </w:r>
      <w:r>
        <w:rPr>
          <w:rFonts w:cs="Arial"/>
          <w:iCs/>
          <w:color w:val="455560" w:themeColor="accent5"/>
          <w:kern w:val="0"/>
          <w:sz w:val="20"/>
        </w:rPr>
        <w:t>f</w:t>
      </w:r>
      <w:r w:rsidRPr="00B02373">
        <w:rPr>
          <w:rFonts w:cs="Arial"/>
          <w:iCs/>
          <w:color w:val="455560" w:themeColor="accent5"/>
          <w:kern w:val="0"/>
          <w:sz w:val="20"/>
        </w:rPr>
        <w:t>und’s approach to setting employer contribution rates is set</w:t>
      </w:r>
      <w:r>
        <w:rPr>
          <w:rFonts w:cs="Arial"/>
          <w:iCs/>
          <w:color w:val="455560" w:themeColor="accent5"/>
          <w:kern w:val="0"/>
          <w:sz w:val="20"/>
        </w:rPr>
        <w:t xml:space="preserve"> </w:t>
      </w:r>
      <w:r w:rsidRPr="00B02373">
        <w:rPr>
          <w:rFonts w:cs="Arial"/>
          <w:iCs/>
          <w:color w:val="455560" w:themeColor="accent5"/>
          <w:kern w:val="0"/>
          <w:sz w:val="20"/>
        </w:rPr>
        <w:t>out</w:t>
      </w:r>
      <w:r>
        <w:rPr>
          <w:rFonts w:cs="Arial"/>
          <w:iCs/>
          <w:color w:val="455560" w:themeColor="accent5"/>
          <w:kern w:val="0"/>
          <w:sz w:val="20"/>
        </w:rPr>
        <w:t xml:space="preserve"> </w:t>
      </w:r>
      <w:r w:rsidRPr="00B02373">
        <w:rPr>
          <w:rFonts w:cs="Arial"/>
          <w:iCs/>
          <w:color w:val="455560" w:themeColor="accent5"/>
          <w:kern w:val="0"/>
          <w:sz w:val="20"/>
        </w:rPr>
        <w:t xml:space="preserve">in the Funding Strategy </w:t>
      </w:r>
      <w:r>
        <w:rPr>
          <w:rFonts w:cs="Arial"/>
          <w:iCs/>
          <w:color w:val="455560" w:themeColor="accent5"/>
          <w:kern w:val="0"/>
          <w:sz w:val="20"/>
        </w:rPr>
        <w:t>S</w:t>
      </w:r>
      <w:r w:rsidRPr="00B02373">
        <w:rPr>
          <w:rFonts w:cs="Arial"/>
          <w:iCs/>
          <w:color w:val="455560" w:themeColor="accent5"/>
          <w:kern w:val="0"/>
          <w:sz w:val="20"/>
        </w:rPr>
        <w:t>tatement, specifically</w:t>
      </w:r>
      <w:r>
        <w:rPr>
          <w:rFonts w:cs="Arial"/>
          <w:iCs/>
          <w:color w:val="455560" w:themeColor="accent5"/>
          <w:kern w:val="0"/>
          <w:sz w:val="20"/>
        </w:rPr>
        <w:t xml:space="preserve"> “</w:t>
      </w:r>
      <w:r w:rsidRPr="00B02373">
        <w:rPr>
          <w:rFonts w:cs="Arial"/>
          <w:iCs/>
          <w:color w:val="455560" w:themeColor="accent5"/>
          <w:kern w:val="0"/>
          <w:sz w:val="20"/>
        </w:rPr>
        <w:t>Section 2</w:t>
      </w:r>
      <w:r>
        <w:rPr>
          <w:rFonts w:cs="Arial"/>
          <w:iCs/>
          <w:color w:val="455560" w:themeColor="accent5"/>
          <w:kern w:val="0"/>
          <w:sz w:val="20"/>
        </w:rPr>
        <w:t xml:space="preserve"> –</w:t>
      </w:r>
      <w:r w:rsidRPr="00B02373">
        <w:rPr>
          <w:rFonts w:cs="Arial"/>
          <w:iCs/>
          <w:color w:val="455560" w:themeColor="accent5"/>
          <w:kern w:val="0"/>
          <w:sz w:val="20"/>
        </w:rPr>
        <w:t xml:space="preserve"> </w:t>
      </w:r>
      <w:bookmarkStart w:id="156" w:name="_Toc110255237"/>
      <w:r w:rsidRPr="00B02373">
        <w:rPr>
          <w:rFonts w:cs="Arial"/>
          <w:iCs/>
          <w:color w:val="455560" w:themeColor="accent5"/>
          <w:kern w:val="0"/>
          <w:sz w:val="20"/>
        </w:rPr>
        <w:t>How does the fund calculate employer contributions?</w:t>
      </w:r>
      <w:bookmarkEnd w:id="156"/>
      <w:r>
        <w:rPr>
          <w:rFonts w:cs="Arial"/>
          <w:iCs/>
          <w:color w:val="455560" w:themeColor="accent5"/>
          <w:kern w:val="0"/>
          <w:sz w:val="20"/>
        </w:rPr>
        <w:t>”.</w:t>
      </w:r>
    </w:p>
    <w:p w14:paraId="295CA770" w14:textId="77777777" w:rsidR="00461C3E" w:rsidRDefault="00461C3E" w:rsidP="00461C3E">
      <w:pPr>
        <w:pStyle w:val="NumberHymans"/>
      </w:pPr>
      <w:r>
        <w:t xml:space="preserve">5 Conflicts of Interest - </w:t>
      </w:r>
      <w:r>
        <w:rPr>
          <w:iCs w:val="0"/>
        </w:rPr>
        <w:t xml:space="preserve">Administering Authority as an employer </w:t>
      </w:r>
    </w:p>
    <w:p w14:paraId="62902D75" w14:textId="77777777" w:rsidR="00461C3E" w:rsidRPr="00BA3870" w:rsidRDefault="00461C3E" w:rsidP="00461C3E">
      <w:pPr>
        <w:pStyle w:val="Heading1Num"/>
        <w:numPr>
          <w:ilvl w:val="0"/>
          <w:numId w:val="0"/>
        </w:numPr>
        <w:ind w:left="567"/>
        <w:rPr>
          <w:rFonts w:cs="Arial"/>
          <w:iCs/>
          <w:color w:val="455560" w:themeColor="accent5"/>
          <w:kern w:val="0"/>
          <w:sz w:val="20"/>
        </w:rPr>
      </w:pPr>
      <w:r w:rsidRPr="00BA3870">
        <w:rPr>
          <w:rFonts w:cs="Arial"/>
          <w:iCs/>
          <w:color w:val="455560" w:themeColor="accent5"/>
          <w:kern w:val="0"/>
          <w:sz w:val="20"/>
        </w:rPr>
        <w:lastRenderedPageBreak/>
        <w:t xml:space="preserve">For the avoidance of doubt, London Borough of Enfield is an employer in the Fund, as well as the Administering Authority. Therefore, any advice which </w:t>
      </w:r>
      <w:r>
        <w:rPr>
          <w:rFonts w:cs="Arial"/>
          <w:iCs/>
          <w:color w:val="455560" w:themeColor="accent5"/>
          <w:kern w:val="0"/>
          <w:sz w:val="20"/>
        </w:rPr>
        <w:t xml:space="preserve">the Actuary is asked </w:t>
      </w:r>
      <w:r w:rsidRPr="00BA3870">
        <w:rPr>
          <w:rFonts w:cs="Arial"/>
          <w:iCs/>
          <w:color w:val="455560" w:themeColor="accent5"/>
          <w:kern w:val="0"/>
          <w:sz w:val="20"/>
        </w:rPr>
        <w:t xml:space="preserve">to provide to the Borough in its capacity as an employer (as opposed to Administering Authority) would be handled as above. </w:t>
      </w:r>
    </w:p>
    <w:p w14:paraId="502CBD11" w14:textId="77777777" w:rsidR="00461C3E" w:rsidRPr="00BA3870" w:rsidRDefault="00461C3E" w:rsidP="00461C3E">
      <w:pPr>
        <w:pStyle w:val="Heading1Num"/>
        <w:numPr>
          <w:ilvl w:val="0"/>
          <w:numId w:val="0"/>
        </w:numPr>
        <w:ind w:left="567"/>
        <w:rPr>
          <w:rFonts w:cs="Arial"/>
          <w:iCs/>
          <w:color w:val="455560" w:themeColor="accent5"/>
          <w:kern w:val="0"/>
          <w:sz w:val="20"/>
        </w:rPr>
      </w:pPr>
      <w:r w:rsidRPr="00BA3870">
        <w:rPr>
          <w:rFonts w:cs="Arial"/>
          <w:iCs/>
          <w:color w:val="455560" w:themeColor="accent5"/>
          <w:kern w:val="0"/>
          <w:sz w:val="20"/>
        </w:rPr>
        <w:t xml:space="preserve">For the avoidance of doubt, any advice </w:t>
      </w:r>
      <w:proofErr w:type="gramStart"/>
      <w:r w:rsidRPr="00BA3870">
        <w:rPr>
          <w:rFonts w:cs="Arial"/>
          <w:iCs/>
          <w:color w:val="455560" w:themeColor="accent5"/>
          <w:kern w:val="0"/>
          <w:sz w:val="20"/>
        </w:rPr>
        <w:t>we</w:t>
      </w:r>
      <w:proofErr w:type="gramEnd"/>
      <w:r w:rsidRPr="00BA3870">
        <w:rPr>
          <w:rFonts w:cs="Arial"/>
          <w:iCs/>
          <w:color w:val="455560" w:themeColor="accent5"/>
          <w:kern w:val="0"/>
          <w:sz w:val="20"/>
        </w:rPr>
        <w:t xml:space="preserve"> give</w:t>
      </w:r>
      <w:r>
        <w:rPr>
          <w:rFonts w:cs="Arial"/>
          <w:iCs/>
          <w:color w:val="455560" w:themeColor="accent5"/>
          <w:kern w:val="0"/>
          <w:sz w:val="20"/>
        </w:rPr>
        <w:t>n</w:t>
      </w:r>
      <w:r w:rsidRPr="00BA3870">
        <w:rPr>
          <w:rFonts w:cs="Arial"/>
          <w:iCs/>
          <w:color w:val="455560" w:themeColor="accent5"/>
          <w:kern w:val="0"/>
          <w:sz w:val="20"/>
        </w:rPr>
        <w:t xml:space="preserve"> to the Fund, relating to London Borough of Enfield’s own contributions, will be formed and delivered purely from a Fund (not employer) perspective, to avoid any conflict of interest.</w:t>
      </w:r>
    </w:p>
    <w:p w14:paraId="06314395" w14:textId="77777777" w:rsidR="00D4591A" w:rsidRDefault="00D4591A" w:rsidP="00424C77">
      <w:pPr>
        <w:pStyle w:val="BodyTextGrey"/>
      </w:pPr>
    </w:p>
    <w:p w14:paraId="4E303CF0" w14:textId="77777777" w:rsidR="00D4591A" w:rsidRPr="00424C77" w:rsidRDefault="00D4591A" w:rsidP="00424C77">
      <w:pPr>
        <w:pStyle w:val="BodyTextGrey"/>
      </w:pPr>
    </w:p>
    <w:sectPr w:rsidR="00D4591A" w:rsidRPr="00424C77" w:rsidSect="00E57572">
      <w:headerReference w:type="default" r:id="rId29"/>
      <w:footerReference w:type="default" r:id="rId30"/>
      <w:pgSz w:w="11906" w:h="16838" w:code="9"/>
      <w:pgMar w:top="1814" w:right="851" w:bottom="1134" w:left="1134" w:header="720"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3BD7" w14:textId="77777777" w:rsidR="00482BF4" w:rsidRDefault="00482BF4" w:rsidP="004B7C6A">
      <w:pPr>
        <w:spacing w:line="240" w:lineRule="auto"/>
      </w:pPr>
      <w:r>
        <w:separator/>
      </w:r>
    </w:p>
  </w:endnote>
  <w:endnote w:type="continuationSeparator" w:id="0">
    <w:p w14:paraId="2CD482E8" w14:textId="77777777" w:rsidR="00482BF4" w:rsidRDefault="00482BF4" w:rsidP="004B7C6A">
      <w:pPr>
        <w:spacing w:line="240" w:lineRule="auto"/>
      </w:pPr>
      <w:r>
        <w:continuationSeparator/>
      </w:r>
    </w:p>
  </w:endnote>
  <w:endnote w:type="continuationNotice" w:id="1">
    <w:p w14:paraId="21F38B72" w14:textId="77777777" w:rsidR="00482BF4" w:rsidRDefault="00482B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SLola-Bol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6BF3" w14:textId="488B36B9" w:rsidR="00773FF9" w:rsidRPr="00D076C1" w:rsidRDefault="00773FF9" w:rsidP="00E54812">
    <w:pPr>
      <w:pStyle w:val="FooterText"/>
      <w:pBdr>
        <w:top w:val="single" w:sz="2" w:space="9" w:color="646464"/>
      </w:pBdr>
      <w:spacing w:before="60" w:after="60" w:line="240" w:lineRule="auto"/>
      <w:ind w:left="28"/>
      <w:contextualSpacing/>
      <w:rPr>
        <w:color w:val="3FA6CC" w:themeColor="accent1"/>
      </w:rPr>
    </w:pPr>
    <w:r w:rsidRPr="00D076C1">
      <w:rPr>
        <w:color w:val="3FA6CC" w:themeColor="accent1"/>
      </w:rPr>
      <w:fldChar w:fldCharType="begin"/>
    </w:r>
    <w:r w:rsidRPr="00D076C1">
      <w:rPr>
        <w:color w:val="3FA6CC" w:themeColor="accent1"/>
      </w:rPr>
      <w:instrText xml:space="preserve"> CREATEDATE \@ "MMMM yyyy" \* MERGEFORMAT </w:instrText>
    </w:r>
    <w:r w:rsidRPr="00D076C1">
      <w:rPr>
        <w:color w:val="3FA6CC" w:themeColor="accent1"/>
      </w:rPr>
      <w:fldChar w:fldCharType="separate"/>
    </w:r>
    <w:r w:rsidR="00D259F9">
      <w:rPr>
        <w:noProof/>
        <w:color w:val="3FA6CC" w:themeColor="accent1"/>
      </w:rPr>
      <w:t>November 2025</w:t>
    </w:r>
    <w:r w:rsidRPr="00D076C1">
      <w:rPr>
        <w:color w:val="3FA6CC" w:themeColor="accent1"/>
      </w:rPr>
      <w:fldChar w:fldCharType="end"/>
    </w:r>
  </w:p>
  <w:p w14:paraId="15880D3D" w14:textId="68002BF4" w:rsidR="00773FF9" w:rsidRPr="0075364D" w:rsidRDefault="00773FF9" w:rsidP="00E54812">
    <w:pPr>
      <w:pStyle w:val="Filepath"/>
      <w:spacing w:before="60" w:after="60" w:line="240" w:lineRule="auto"/>
      <w:ind w:left="28"/>
      <w:contextualSpacing/>
      <w:rPr>
        <w:color w:val="455560"/>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A913" w14:textId="77777777" w:rsidR="00773FF9" w:rsidRDefault="00773FF9">
    <w:pPr>
      <w:pStyle w:val="Footer"/>
      <w:rPr>
        <w:sz w:val="2"/>
      </w:rPr>
    </w:pPr>
    <w:r>
      <w:rPr>
        <w:sz w:val="2"/>
      </w:rPr>
      <w:tab/>
    </w:r>
  </w:p>
  <w:tbl>
    <w:tblPr>
      <w:tblW w:w="0" w:type="auto"/>
      <w:tblLayout w:type="fixed"/>
      <w:tblLook w:val="0000" w:firstRow="0" w:lastRow="0" w:firstColumn="0" w:lastColumn="0" w:noHBand="0" w:noVBand="0"/>
    </w:tblPr>
    <w:tblGrid>
      <w:gridCol w:w="2954"/>
      <w:gridCol w:w="2954"/>
      <w:gridCol w:w="2954"/>
    </w:tblGrid>
    <w:tr w:rsidR="00773FF9" w14:paraId="000DA65A" w14:textId="77777777">
      <w:tc>
        <w:tcPr>
          <w:tcW w:w="2954" w:type="dxa"/>
        </w:tcPr>
        <w:p w14:paraId="60101352" w14:textId="77777777" w:rsidR="00773FF9" w:rsidRDefault="00773FF9">
          <w:pPr>
            <w:pStyle w:val="Footer"/>
          </w:pPr>
        </w:p>
      </w:tc>
      <w:tc>
        <w:tcPr>
          <w:tcW w:w="2954" w:type="dxa"/>
        </w:tcPr>
        <w:p w14:paraId="63C20D53" w14:textId="77777777" w:rsidR="00773FF9" w:rsidRDefault="00773FF9">
          <w:pPr>
            <w:pStyle w:val="Footer"/>
            <w:jc w:val="center"/>
          </w:pPr>
          <w:r>
            <w:t xml:space="preserve">Page No. </w:t>
          </w:r>
          <w:r>
            <w:fldChar w:fldCharType="begin"/>
          </w:r>
          <w:r>
            <w:instrText xml:space="preserve"> PAGE </w:instrText>
          </w:r>
          <w:r>
            <w:fldChar w:fldCharType="separate"/>
          </w:r>
          <w:r>
            <w:rPr>
              <w:noProof/>
            </w:rPr>
            <w:t>1</w:t>
          </w:r>
          <w:r>
            <w:rPr>
              <w:noProof/>
            </w:rPr>
            <w:fldChar w:fldCharType="end"/>
          </w:r>
        </w:p>
      </w:tc>
      <w:tc>
        <w:tcPr>
          <w:tcW w:w="2954" w:type="dxa"/>
        </w:tcPr>
        <w:p w14:paraId="26860F82" w14:textId="67901BCA" w:rsidR="00773FF9" w:rsidRDefault="00773FF9">
          <w:pPr>
            <w:pStyle w:val="Footer"/>
            <w:jc w:val="right"/>
          </w:pPr>
          <w:r>
            <w:fldChar w:fldCharType="begin"/>
          </w:r>
          <w:r>
            <w:instrText xml:space="preserve"> CREATEDATE \@ "MMMM yyyy" \* MERGEFORMAT </w:instrText>
          </w:r>
          <w:r>
            <w:fldChar w:fldCharType="separate"/>
          </w:r>
          <w:r w:rsidR="00D259F9">
            <w:rPr>
              <w:noProof/>
            </w:rPr>
            <w:t>November 2025</w:t>
          </w:r>
          <w:r>
            <w:rPr>
              <w:noProof/>
            </w:rPr>
            <w:fldChar w:fldCharType="end"/>
          </w:r>
        </w:p>
      </w:tc>
    </w:tr>
    <w:tr w:rsidR="00773FF9" w14:paraId="009D7E54" w14:textId="77777777">
      <w:tc>
        <w:tcPr>
          <w:tcW w:w="2954" w:type="dxa"/>
        </w:tcPr>
        <w:p w14:paraId="26B3800C" w14:textId="77777777" w:rsidR="00773FF9" w:rsidRDefault="00773FF9">
          <w:pPr>
            <w:pStyle w:val="Footer"/>
          </w:pPr>
        </w:p>
      </w:tc>
      <w:tc>
        <w:tcPr>
          <w:tcW w:w="5908" w:type="dxa"/>
          <w:gridSpan w:val="2"/>
        </w:tcPr>
        <w:p w14:paraId="4F440C6D" w14:textId="432E77C4" w:rsidR="00773FF9" w:rsidRDefault="00D259F9">
          <w:pPr>
            <w:pStyle w:val="Footer"/>
            <w:jc w:val="right"/>
          </w:pPr>
          <w:fldSimple w:instr="FILENAME \p\* Upper \* MERGEFORMAT">
            <w:r w:rsidRPr="00D259F9">
              <w:rPr>
                <w:rFonts w:ascii="NewCenturySchlbk" w:hAnsi="NewCenturySchlbk"/>
                <w:noProof/>
                <w:sz w:val="12"/>
              </w:rPr>
              <w:t>HTTPS</w:t>
            </w:r>
            <w:r>
              <w:rPr>
                <w:noProof/>
              </w:rPr>
              <w:t>://ENFIELD365.SHAREPOINT.COM/SITES/EDMS-PENS/SHARED DOCUMENTS/ACTUARY VALUATION/2026-2029 ACTUARY VALUATION/LONDON BOROUGH OF ENFIELD - 2025 VALUATION -DRAFT FUNDING STRATEGY STATEMENT - NOVEMBER 28.11.25.DOCX</w:t>
            </w:r>
          </w:fldSimple>
        </w:p>
      </w:tc>
    </w:tr>
  </w:tbl>
  <w:p w14:paraId="35040FFE" w14:textId="77777777" w:rsidR="00773FF9" w:rsidRDefault="00773FF9">
    <w:pPr>
      <w:pStyle w:val="Footer"/>
    </w:pPr>
  </w:p>
  <w:p w14:paraId="77E654F2" w14:textId="77777777" w:rsidR="00773FF9" w:rsidRDefault="00773F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75FD" w14:textId="05E9032B" w:rsidR="00773FF9" w:rsidRPr="00CA166B" w:rsidRDefault="00773FF9" w:rsidP="002C0D40">
    <w:pPr>
      <w:pStyle w:val="FooterText"/>
      <w:pBdr>
        <w:top w:val="single" w:sz="2" w:space="8" w:color="646464"/>
      </w:pBdr>
      <w:tabs>
        <w:tab w:val="right" w:pos="9921"/>
      </w:tabs>
      <w:spacing w:before="60" w:after="60" w:line="240" w:lineRule="auto"/>
      <w:ind w:left="0"/>
      <w:contextualSpacing/>
      <w:rPr>
        <w:noProof/>
        <w:color w:val="455560"/>
        <w:sz w:val="13"/>
        <w:szCs w:val="13"/>
      </w:rPr>
    </w:pPr>
    <w:r w:rsidRPr="00D63229">
      <w:rPr>
        <w:color w:val="3FA6CC" w:themeColor="accent1"/>
      </w:rPr>
      <w:fldChar w:fldCharType="begin"/>
    </w:r>
    <w:r w:rsidRPr="00D63229">
      <w:rPr>
        <w:color w:val="3FA6CC" w:themeColor="accent1"/>
      </w:rPr>
      <w:instrText xml:space="preserve"> CREATEDATE \@ "MMMM yyyy" \* MERGEFORMAT </w:instrText>
    </w:r>
    <w:r w:rsidRPr="00D63229">
      <w:rPr>
        <w:color w:val="3FA6CC" w:themeColor="accent1"/>
      </w:rPr>
      <w:fldChar w:fldCharType="separate"/>
    </w:r>
    <w:r w:rsidR="00D259F9">
      <w:rPr>
        <w:noProof/>
        <w:color w:val="3FA6CC" w:themeColor="accent1"/>
      </w:rPr>
      <w:t>November 2025</w:t>
    </w:r>
    <w:r w:rsidRPr="00D63229">
      <w:rPr>
        <w:color w:val="3FA6CC" w:themeColor="accent1"/>
      </w:rPr>
      <w:fldChar w:fldCharType="end"/>
    </w:r>
    <w:r w:rsidRPr="00D63229">
      <w:rPr>
        <w:color w:val="3FA6CC"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1A95" w14:textId="77777777" w:rsidR="00482BF4" w:rsidRDefault="00482BF4" w:rsidP="004B7C6A">
      <w:pPr>
        <w:spacing w:line="240" w:lineRule="auto"/>
      </w:pPr>
      <w:r>
        <w:separator/>
      </w:r>
    </w:p>
  </w:footnote>
  <w:footnote w:type="continuationSeparator" w:id="0">
    <w:p w14:paraId="77174FE4" w14:textId="77777777" w:rsidR="00482BF4" w:rsidRDefault="00482BF4" w:rsidP="004B7C6A">
      <w:pPr>
        <w:spacing w:line="240" w:lineRule="auto"/>
      </w:pPr>
      <w:r>
        <w:continuationSeparator/>
      </w:r>
    </w:p>
  </w:footnote>
  <w:footnote w:type="continuationNotice" w:id="1">
    <w:p w14:paraId="211922C4" w14:textId="77777777" w:rsidR="00482BF4" w:rsidRDefault="00482BF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50CE" w14:textId="08AE6808" w:rsidR="00773FF9" w:rsidRDefault="00773FF9" w:rsidP="00C37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5CA">
      <w:rPr>
        <w:rStyle w:val="PageNumber"/>
        <w:noProof/>
      </w:rPr>
      <w:t>1</w:t>
    </w:r>
    <w:r>
      <w:rPr>
        <w:rStyle w:val="PageNumber"/>
      </w:rPr>
      <w:fldChar w:fldCharType="end"/>
    </w:r>
  </w:p>
  <w:p w14:paraId="1B02A7C9" w14:textId="77777777" w:rsidR="00773FF9" w:rsidRDefault="00773FF9" w:rsidP="00C3770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3FB5" w14:textId="1E744580" w:rsidR="00773FF9" w:rsidRPr="002C346B" w:rsidRDefault="00773FF9" w:rsidP="00D076C1">
    <w:pPr>
      <w:pStyle w:val="Header"/>
      <w:tabs>
        <w:tab w:val="clear" w:pos="57"/>
      </w:tabs>
      <w:ind w:left="709"/>
      <w:jc w:val="right"/>
      <w:rPr>
        <w:rStyle w:val="HeaderTextBlue"/>
      </w:rPr>
    </w:pPr>
    <w:r w:rsidRPr="00282F5E">
      <w:rPr>
        <w:iCs w:val="0"/>
        <w:caps w:val="0"/>
        <w:noProof/>
        <w:color w:val="455560"/>
      </w:rPr>
      <mc:AlternateContent>
        <mc:Choice Requires="wps">
          <w:drawing>
            <wp:anchor distT="0" distB="0" distL="114300" distR="114300" simplePos="0" relativeHeight="251656704" behindDoc="1" locked="0" layoutInCell="1" allowOverlap="1" wp14:anchorId="00E110FF" wp14:editId="5555BCE2">
              <wp:simplePos x="0" y="0"/>
              <wp:positionH relativeFrom="column">
                <wp:posOffset>-851584</wp:posOffset>
              </wp:positionH>
              <wp:positionV relativeFrom="paragraph">
                <wp:posOffset>-518160</wp:posOffset>
              </wp:positionV>
              <wp:extent cx="1749669" cy="19945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749669" cy="199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81609" w14:textId="294C8EB3" w:rsidR="00773FF9" w:rsidRDefault="00773FF9" w:rsidP="004F4319">
                          <w:pPr>
                            <w:ind w:left="-28" w:right="168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110FF" id="_x0000_t202" coordsize="21600,21600" o:spt="202" path="m,l,21600r21600,l21600,xe">
              <v:stroke joinstyle="miter"/>
              <v:path gradientshapeok="t" o:connecttype="rect"/>
            </v:shapetype>
            <v:shape id="Text Box 1" o:spid="_x0000_s1026" type="#_x0000_t202" style="position:absolute;left:0;text-align:left;margin-left:-67.05pt;margin-top:-40.8pt;width:137.75pt;height:1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" filled="f" stroked="f" strokeweight=".5pt">
              <v:textbox>
                <w:txbxContent>
                  <w:p w14:paraId="12281609" w14:textId="294C8EB3" w:rsidR="00773FF9" w:rsidRDefault="00773FF9" w:rsidP="004F4319">
                    <w:pPr>
                      <w:ind w:left="-28" w:right="1688"/>
                    </w:pPr>
                  </w:p>
                </w:txbxContent>
              </v:textbox>
            </v:shape>
          </w:pict>
        </mc:Fallback>
      </mc:AlternateContent>
    </w:r>
    <w:bookmarkStart w:id="16" w:name="Scheme"/>
    <w:r w:rsidR="00282F5E" w:rsidRPr="004F5C25">
      <w:rPr>
        <w:rStyle w:val="HeaderTextGrey"/>
      </w:rPr>
      <w:t xml:space="preserve">London Borough of Enfield </w:t>
    </w:r>
    <w:r w:rsidRPr="004F5C25">
      <w:rPr>
        <w:rStyle w:val="HeaderTextGrey"/>
      </w:rPr>
      <w:t xml:space="preserve">Pension </w:t>
    </w:r>
    <w:r w:rsidR="00EB1C3E" w:rsidRPr="004F5C25">
      <w:rPr>
        <w:rStyle w:val="HeaderTextGrey"/>
      </w:rPr>
      <w:t>Fun</w:t>
    </w:r>
    <w:r w:rsidR="00282F5E" w:rsidRPr="004F5C25">
      <w:rPr>
        <w:rStyle w:val="HeaderTextGrey"/>
      </w:rPr>
      <w:t>d</w:t>
    </w:r>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7D5B" w14:textId="77777777" w:rsidR="00773FF9" w:rsidRDefault="00773FF9" w:rsidP="00C3770F">
    <w:pPr>
      <w:pStyle w:val="Header"/>
    </w:pPr>
    <w:r>
      <w:t>Scheme Name</w:t>
    </w:r>
  </w:p>
  <w:p w14:paraId="33F3DFFB" w14:textId="77777777" w:rsidR="00773FF9" w:rsidRDefault="00773FF9" w:rsidP="00C3770F">
    <w:pPr>
      <w:pStyle w:val="Header"/>
    </w:pPr>
  </w:p>
  <w:p w14:paraId="2DE46472" w14:textId="77777777" w:rsidR="00773FF9" w:rsidRDefault="00773F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347B" w14:textId="05DC9CCC" w:rsidR="00773FF9" w:rsidRPr="004D2949" w:rsidRDefault="00773FF9" w:rsidP="004F4319">
    <w:pPr>
      <w:pStyle w:val="Header"/>
      <w:tabs>
        <w:tab w:val="clear" w:pos="57"/>
        <w:tab w:val="left" w:pos="709"/>
        <w:tab w:val="right" w:pos="9924"/>
      </w:tabs>
      <w:ind w:left="709"/>
      <w:rPr>
        <w:rStyle w:val="HeaderTextBlue"/>
        <w:caps w:val="0"/>
      </w:rPr>
    </w:pPr>
    <w:r>
      <w:rPr>
        <w:iCs w:val="0"/>
        <w:caps w:val="0"/>
        <w:noProof/>
        <w:color w:val="455560"/>
      </w:rPr>
      <mc:AlternateContent>
        <mc:Choice Requires="wps">
          <w:drawing>
            <wp:anchor distT="0" distB="0" distL="114300" distR="114300" simplePos="0" relativeHeight="251657728" behindDoc="1" locked="0" layoutInCell="1" allowOverlap="1" wp14:anchorId="7D5B700F" wp14:editId="37E6E9E2">
              <wp:simplePos x="0" y="0"/>
              <wp:positionH relativeFrom="column">
                <wp:posOffset>-851584</wp:posOffset>
              </wp:positionH>
              <wp:positionV relativeFrom="paragraph">
                <wp:posOffset>-518160</wp:posOffset>
              </wp:positionV>
              <wp:extent cx="1749669" cy="1994535"/>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749669" cy="199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8058D" w14:textId="707843F9" w:rsidR="00773FF9" w:rsidRDefault="00773FF9" w:rsidP="004F4319">
                          <w:pPr>
                            <w:ind w:left="-28" w:right="168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B700F" id="_x0000_t202" coordsize="21600,21600" o:spt="202" path="m,l,21600r21600,l21600,xe">
              <v:stroke joinstyle="miter"/>
              <v:path gradientshapeok="t" o:connecttype="rect"/>
            </v:shapetype>
            <v:shape id="Text Box 10" o:spid="_x0000_s1027" type="#_x0000_t202" style="position:absolute;left:0;text-align:left;margin-left:-67.05pt;margin-top:-40.8pt;width:137.75pt;height:15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" filled="f" stroked="f" strokeweight=".5pt">
              <v:textbox>
                <w:txbxContent>
                  <w:p w14:paraId="4728058D" w14:textId="707843F9" w:rsidR="00773FF9" w:rsidRDefault="00773FF9" w:rsidP="004F4319">
                    <w:pPr>
                      <w:ind w:left="-28" w:right="1688"/>
                    </w:pPr>
                  </w:p>
                </w:txbxContent>
              </v:textbox>
            </v:shape>
          </w:pict>
        </mc:Fallback>
      </mc:AlternateContent>
    </w:r>
    <w:r>
      <w:rPr>
        <w:rStyle w:val="HeaderChar"/>
        <w:color w:val="455560"/>
      </w:rPr>
      <w:tab/>
    </w:r>
    <w:bookmarkStart w:id="157" w:name="Scheme2"/>
    <w:r w:rsidR="00084BF8" w:rsidRPr="00084BF8">
      <w:rPr>
        <w:rStyle w:val="HeaderChar"/>
        <w:color w:val="455560"/>
      </w:rPr>
      <w:t>London Borough of Enfield Pension Fund</w:t>
    </w:r>
    <w:bookmarkEnd w:id="1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D8F"/>
    <w:multiLevelType w:val="hybridMultilevel"/>
    <w:tmpl w:val="40B85F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4F75B8"/>
    <w:multiLevelType w:val="multilevel"/>
    <w:tmpl w:val="25AA7218"/>
    <w:lvl w:ilvl="0">
      <w:start w:val="3"/>
      <w:numFmt w:val="decimal"/>
      <w:lvlRestart w:val="0"/>
      <w:isLgl/>
      <w:lvlText w:val="%1"/>
      <w:lvlJc w:val="left"/>
      <w:pPr>
        <w:tabs>
          <w:tab w:val="num" w:pos="567"/>
        </w:tabs>
        <w:ind w:left="567" w:hanging="567"/>
      </w:pPr>
      <w:rPr>
        <w:rFonts w:hint="default"/>
      </w:rPr>
    </w:lvl>
    <w:lvl w:ilvl="1">
      <w:start w:val="1"/>
      <w:numFmt w:val="decimal"/>
      <w:lvlText w:val="%1.%2"/>
      <w:lvlJc w:val="left"/>
      <w:pPr>
        <w:tabs>
          <w:tab w:val="num" w:pos="709"/>
        </w:tabs>
        <w:ind w:left="709" w:hanging="567"/>
      </w:pPr>
      <w:rPr>
        <w:rFonts w:hint="default"/>
      </w:rPr>
    </w:lvl>
    <w:lvl w:ilvl="2">
      <w:start w:val="1"/>
      <w:numFmt w:val="decimal"/>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91B12D8"/>
    <w:multiLevelType w:val="hybridMultilevel"/>
    <w:tmpl w:val="2A58BC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AAE60AD"/>
    <w:multiLevelType w:val="hybridMultilevel"/>
    <w:tmpl w:val="559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C48D3"/>
    <w:multiLevelType w:val="hybridMultilevel"/>
    <w:tmpl w:val="1E669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A32CB"/>
    <w:multiLevelType w:val="hybridMultilevel"/>
    <w:tmpl w:val="92D8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B2792"/>
    <w:multiLevelType w:val="hybridMultilevel"/>
    <w:tmpl w:val="9D38F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66320"/>
    <w:multiLevelType w:val="hybridMultilevel"/>
    <w:tmpl w:val="1DA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722D0"/>
    <w:multiLevelType w:val="hybridMultilevel"/>
    <w:tmpl w:val="B858A282"/>
    <w:lvl w:ilvl="0" w:tplc="FFFFFFFF">
      <w:numFmt w:val="bullet"/>
      <w:lvlText w:val="■"/>
      <w:lvlJc w:val="left"/>
      <w:pPr>
        <w:ind w:left="454" w:hanging="454"/>
      </w:pPr>
      <w:rPr>
        <w:rFonts w:ascii="Arial" w:eastAsia="Arial" w:hAnsi="Arial" w:cs="Arial" w:hint="default"/>
        <w:b w:val="0"/>
        <w:bCs w:val="0"/>
        <w:i w:val="0"/>
        <w:iCs w:val="0"/>
        <w:color w:val="939598"/>
        <w:spacing w:val="0"/>
        <w:w w:val="123"/>
        <w:sz w:val="20"/>
        <w:szCs w:val="20"/>
        <w:lang w:val="en-US" w:eastAsia="en-US" w:bidi="ar-SA"/>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1993" w:hanging="454"/>
      </w:pPr>
      <w:rPr>
        <w:lang w:val="en-US" w:eastAsia="en-US" w:bidi="ar-SA"/>
      </w:rPr>
    </w:lvl>
    <w:lvl w:ilvl="3" w:tplc="FFFFFFFF">
      <w:numFmt w:val="bullet"/>
      <w:lvlText w:val="•"/>
      <w:lvlJc w:val="left"/>
      <w:pPr>
        <w:ind w:left="2963" w:hanging="454"/>
      </w:pPr>
      <w:rPr>
        <w:lang w:val="en-US" w:eastAsia="en-US" w:bidi="ar-SA"/>
      </w:rPr>
    </w:lvl>
    <w:lvl w:ilvl="4" w:tplc="FFFFFFFF">
      <w:numFmt w:val="bullet"/>
      <w:lvlText w:val="•"/>
      <w:lvlJc w:val="left"/>
      <w:pPr>
        <w:ind w:left="3932" w:hanging="454"/>
      </w:pPr>
      <w:rPr>
        <w:lang w:val="en-US" w:eastAsia="en-US" w:bidi="ar-SA"/>
      </w:rPr>
    </w:lvl>
    <w:lvl w:ilvl="5" w:tplc="FFFFFFFF">
      <w:numFmt w:val="bullet"/>
      <w:lvlText w:val="•"/>
      <w:lvlJc w:val="left"/>
      <w:pPr>
        <w:ind w:left="4902" w:hanging="454"/>
      </w:pPr>
      <w:rPr>
        <w:lang w:val="en-US" w:eastAsia="en-US" w:bidi="ar-SA"/>
      </w:rPr>
    </w:lvl>
    <w:lvl w:ilvl="6" w:tplc="FFFFFFFF">
      <w:numFmt w:val="bullet"/>
      <w:lvlText w:val="•"/>
      <w:lvlJc w:val="left"/>
      <w:pPr>
        <w:ind w:left="5871" w:hanging="454"/>
      </w:pPr>
      <w:rPr>
        <w:lang w:val="en-US" w:eastAsia="en-US" w:bidi="ar-SA"/>
      </w:rPr>
    </w:lvl>
    <w:lvl w:ilvl="7" w:tplc="FFFFFFFF">
      <w:numFmt w:val="bullet"/>
      <w:lvlText w:val="•"/>
      <w:lvlJc w:val="left"/>
      <w:pPr>
        <w:ind w:left="6841" w:hanging="454"/>
      </w:pPr>
      <w:rPr>
        <w:lang w:val="en-US" w:eastAsia="en-US" w:bidi="ar-SA"/>
      </w:rPr>
    </w:lvl>
    <w:lvl w:ilvl="8" w:tplc="FFFFFFFF">
      <w:numFmt w:val="bullet"/>
      <w:lvlText w:val="•"/>
      <w:lvlJc w:val="left"/>
      <w:pPr>
        <w:ind w:left="7810" w:hanging="454"/>
      </w:pPr>
      <w:rPr>
        <w:lang w:val="en-US" w:eastAsia="en-US" w:bidi="ar-SA"/>
      </w:rPr>
    </w:lvl>
  </w:abstractNum>
  <w:abstractNum w:abstractNumId="11" w15:restartNumberingAfterBreak="0">
    <w:nsid w:val="2050620D"/>
    <w:multiLevelType w:val="hybridMultilevel"/>
    <w:tmpl w:val="B67C66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320DE5"/>
    <w:multiLevelType w:val="hybridMultilevel"/>
    <w:tmpl w:val="567090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47F27"/>
    <w:multiLevelType w:val="hybridMultilevel"/>
    <w:tmpl w:val="56A2003A"/>
    <w:lvl w:ilvl="0" w:tplc="DCCE6B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39304B"/>
    <w:multiLevelType w:val="multilevel"/>
    <w:tmpl w:val="5ED2340E"/>
    <w:lvl w:ilvl="0">
      <w:start w:val="1"/>
      <w:numFmt w:val="decimal"/>
      <w:lvlText w:val="%1."/>
      <w:lvlJc w:val="left"/>
      <w:pPr>
        <w:ind w:left="567" w:hanging="567"/>
      </w:pPr>
      <w:rPr>
        <w:rFonts w:hint="default"/>
        <w:color w:val="4B4B4B"/>
        <w:sz w:val="20"/>
      </w:rPr>
    </w:lvl>
    <w:lvl w:ilvl="1">
      <w:start w:val="3"/>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7B321C"/>
    <w:multiLevelType w:val="hybridMultilevel"/>
    <w:tmpl w:val="04F0CA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127D83"/>
    <w:multiLevelType w:val="hybridMultilevel"/>
    <w:tmpl w:val="E228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CB038A"/>
    <w:multiLevelType w:val="hybridMultilevel"/>
    <w:tmpl w:val="021C2EE2"/>
    <w:lvl w:ilvl="0" w:tplc="08090001">
      <w:start w:val="1"/>
      <w:numFmt w:val="bullet"/>
      <w:lvlText w:val=""/>
      <w:lvlJc w:val="left"/>
      <w:pPr>
        <w:ind w:left="261" w:hanging="360"/>
      </w:pPr>
      <w:rPr>
        <w:rFonts w:ascii="Symbol" w:hAnsi="Symbol" w:hint="default"/>
      </w:rPr>
    </w:lvl>
    <w:lvl w:ilvl="1" w:tplc="08090003">
      <w:start w:val="1"/>
      <w:numFmt w:val="bullet"/>
      <w:lvlText w:val="o"/>
      <w:lvlJc w:val="left"/>
      <w:pPr>
        <w:ind w:left="981" w:hanging="360"/>
      </w:pPr>
      <w:rPr>
        <w:rFonts w:ascii="Courier New" w:hAnsi="Courier New" w:cs="Courier New" w:hint="default"/>
      </w:rPr>
    </w:lvl>
    <w:lvl w:ilvl="2" w:tplc="08090005">
      <w:start w:val="1"/>
      <w:numFmt w:val="bullet"/>
      <w:lvlText w:val=""/>
      <w:lvlJc w:val="left"/>
      <w:pPr>
        <w:ind w:left="1701" w:hanging="360"/>
      </w:pPr>
      <w:rPr>
        <w:rFonts w:ascii="Wingdings" w:hAnsi="Wingdings" w:hint="default"/>
      </w:rPr>
    </w:lvl>
    <w:lvl w:ilvl="3" w:tplc="08090001">
      <w:start w:val="1"/>
      <w:numFmt w:val="bullet"/>
      <w:lvlText w:val=""/>
      <w:lvlJc w:val="left"/>
      <w:pPr>
        <w:ind w:left="2421" w:hanging="360"/>
      </w:pPr>
      <w:rPr>
        <w:rFonts w:ascii="Symbol" w:hAnsi="Symbol" w:hint="default"/>
      </w:rPr>
    </w:lvl>
    <w:lvl w:ilvl="4" w:tplc="08090003">
      <w:start w:val="1"/>
      <w:numFmt w:val="bullet"/>
      <w:lvlText w:val="o"/>
      <w:lvlJc w:val="left"/>
      <w:pPr>
        <w:ind w:left="3141" w:hanging="360"/>
      </w:pPr>
      <w:rPr>
        <w:rFonts w:ascii="Courier New" w:hAnsi="Courier New" w:cs="Courier New" w:hint="default"/>
      </w:rPr>
    </w:lvl>
    <w:lvl w:ilvl="5" w:tplc="08090005">
      <w:start w:val="1"/>
      <w:numFmt w:val="bullet"/>
      <w:lvlText w:val=""/>
      <w:lvlJc w:val="left"/>
      <w:pPr>
        <w:ind w:left="3861" w:hanging="360"/>
      </w:pPr>
      <w:rPr>
        <w:rFonts w:ascii="Wingdings" w:hAnsi="Wingdings" w:hint="default"/>
      </w:rPr>
    </w:lvl>
    <w:lvl w:ilvl="6" w:tplc="08090001">
      <w:start w:val="1"/>
      <w:numFmt w:val="bullet"/>
      <w:lvlText w:val=""/>
      <w:lvlJc w:val="left"/>
      <w:pPr>
        <w:ind w:left="4581" w:hanging="360"/>
      </w:pPr>
      <w:rPr>
        <w:rFonts w:ascii="Symbol" w:hAnsi="Symbol" w:hint="default"/>
      </w:rPr>
    </w:lvl>
    <w:lvl w:ilvl="7" w:tplc="08090003">
      <w:start w:val="1"/>
      <w:numFmt w:val="bullet"/>
      <w:lvlText w:val="o"/>
      <w:lvlJc w:val="left"/>
      <w:pPr>
        <w:ind w:left="5301" w:hanging="360"/>
      </w:pPr>
      <w:rPr>
        <w:rFonts w:ascii="Courier New" w:hAnsi="Courier New" w:cs="Courier New" w:hint="default"/>
      </w:rPr>
    </w:lvl>
    <w:lvl w:ilvl="8" w:tplc="08090005">
      <w:start w:val="1"/>
      <w:numFmt w:val="bullet"/>
      <w:lvlText w:val=""/>
      <w:lvlJc w:val="left"/>
      <w:pPr>
        <w:ind w:left="6021" w:hanging="360"/>
      </w:pPr>
      <w:rPr>
        <w:rFonts w:ascii="Wingdings" w:hAnsi="Wingdings" w:hint="default"/>
      </w:rPr>
    </w:lvl>
  </w:abstractNum>
  <w:abstractNum w:abstractNumId="20" w15:restartNumberingAfterBreak="0">
    <w:nsid w:val="40E66BC8"/>
    <w:multiLevelType w:val="hybridMultilevel"/>
    <w:tmpl w:val="31B4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74365"/>
    <w:multiLevelType w:val="hybridMultilevel"/>
    <w:tmpl w:val="CCE27010"/>
    <w:lvl w:ilvl="0" w:tplc="61C2BDAA">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4A876F2F"/>
    <w:multiLevelType w:val="multilevel"/>
    <w:tmpl w:val="7E3E6D1C"/>
    <w:lvl w:ilvl="0">
      <w:start w:val="1"/>
      <w:numFmt w:val="lowerLetter"/>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A33AE3"/>
    <w:multiLevelType w:val="hybridMultilevel"/>
    <w:tmpl w:val="C9A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56CA1"/>
    <w:multiLevelType w:val="hybridMultilevel"/>
    <w:tmpl w:val="71428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300B44"/>
    <w:multiLevelType w:val="hybridMultilevel"/>
    <w:tmpl w:val="DBF8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B2C4A"/>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DE285F"/>
    <w:multiLevelType w:val="hybridMultilevel"/>
    <w:tmpl w:val="025847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0161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A055B7"/>
    <w:multiLevelType w:val="hybridMultilevel"/>
    <w:tmpl w:val="CF1037D2"/>
    <w:lvl w:ilvl="0" w:tplc="DF3EC7EE">
      <w:start w:val="1"/>
      <w:numFmt w:val="decimal"/>
      <w:lvlText w:val="%1."/>
      <w:lvlJc w:val="left"/>
      <w:pPr>
        <w:ind w:left="360" w:hanging="360"/>
      </w:pPr>
      <w:rPr>
        <w:b w:val="0"/>
        <w:bCs/>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CA203FA"/>
    <w:multiLevelType w:val="multilevel"/>
    <w:tmpl w:val="2118F4C4"/>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DB81559"/>
    <w:multiLevelType w:val="hybridMultilevel"/>
    <w:tmpl w:val="339C6D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1B605F"/>
    <w:multiLevelType w:val="hybridMultilevel"/>
    <w:tmpl w:val="BBEA95AC"/>
    <w:lvl w:ilvl="0" w:tplc="08090001">
      <w:start w:val="1"/>
      <w:numFmt w:val="bullet"/>
      <w:lvlText w:val=""/>
      <w:lvlJc w:val="left"/>
      <w:pPr>
        <w:ind w:left="261" w:hanging="360"/>
      </w:pPr>
      <w:rPr>
        <w:rFonts w:ascii="Symbol" w:hAnsi="Symbol" w:hint="default"/>
      </w:rPr>
    </w:lvl>
    <w:lvl w:ilvl="1" w:tplc="08090003">
      <w:start w:val="1"/>
      <w:numFmt w:val="bullet"/>
      <w:lvlText w:val="o"/>
      <w:lvlJc w:val="left"/>
      <w:pPr>
        <w:ind w:left="981" w:hanging="360"/>
      </w:pPr>
      <w:rPr>
        <w:rFonts w:ascii="Courier New" w:hAnsi="Courier New" w:cs="Courier New" w:hint="default"/>
      </w:rPr>
    </w:lvl>
    <w:lvl w:ilvl="2" w:tplc="08090005">
      <w:start w:val="1"/>
      <w:numFmt w:val="bullet"/>
      <w:lvlText w:val=""/>
      <w:lvlJc w:val="left"/>
      <w:pPr>
        <w:ind w:left="1701" w:hanging="360"/>
      </w:pPr>
      <w:rPr>
        <w:rFonts w:ascii="Wingdings" w:hAnsi="Wingdings" w:hint="default"/>
      </w:rPr>
    </w:lvl>
    <w:lvl w:ilvl="3" w:tplc="08090001">
      <w:start w:val="1"/>
      <w:numFmt w:val="bullet"/>
      <w:lvlText w:val=""/>
      <w:lvlJc w:val="left"/>
      <w:pPr>
        <w:ind w:left="2421" w:hanging="360"/>
      </w:pPr>
      <w:rPr>
        <w:rFonts w:ascii="Symbol" w:hAnsi="Symbol" w:hint="default"/>
      </w:rPr>
    </w:lvl>
    <w:lvl w:ilvl="4" w:tplc="08090003">
      <w:start w:val="1"/>
      <w:numFmt w:val="bullet"/>
      <w:lvlText w:val="o"/>
      <w:lvlJc w:val="left"/>
      <w:pPr>
        <w:ind w:left="3141" w:hanging="360"/>
      </w:pPr>
      <w:rPr>
        <w:rFonts w:ascii="Courier New" w:hAnsi="Courier New" w:cs="Courier New" w:hint="default"/>
      </w:rPr>
    </w:lvl>
    <w:lvl w:ilvl="5" w:tplc="08090005">
      <w:start w:val="1"/>
      <w:numFmt w:val="bullet"/>
      <w:lvlText w:val=""/>
      <w:lvlJc w:val="left"/>
      <w:pPr>
        <w:ind w:left="3861" w:hanging="360"/>
      </w:pPr>
      <w:rPr>
        <w:rFonts w:ascii="Wingdings" w:hAnsi="Wingdings" w:hint="default"/>
      </w:rPr>
    </w:lvl>
    <w:lvl w:ilvl="6" w:tplc="08090001">
      <w:start w:val="1"/>
      <w:numFmt w:val="bullet"/>
      <w:lvlText w:val=""/>
      <w:lvlJc w:val="left"/>
      <w:pPr>
        <w:ind w:left="4581" w:hanging="360"/>
      </w:pPr>
      <w:rPr>
        <w:rFonts w:ascii="Symbol" w:hAnsi="Symbol" w:hint="default"/>
      </w:rPr>
    </w:lvl>
    <w:lvl w:ilvl="7" w:tplc="08090003">
      <w:start w:val="1"/>
      <w:numFmt w:val="bullet"/>
      <w:lvlText w:val="o"/>
      <w:lvlJc w:val="left"/>
      <w:pPr>
        <w:ind w:left="5301" w:hanging="360"/>
      </w:pPr>
      <w:rPr>
        <w:rFonts w:ascii="Courier New" w:hAnsi="Courier New" w:cs="Courier New" w:hint="default"/>
      </w:rPr>
    </w:lvl>
    <w:lvl w:ilvl="8" w:tplc="08090005">
      <w:start w:val="1"/>
      <w:numFmt w:val="bullet"/>
      <w:lvlText w:val=""/>
      <w:lvlJc w:val="left"/>
      <w:pPr>
        <w:ind w:left="6021" w:hanging="360"/>
      </w:pPr>
      <w:rPr>
        <w:rFonts w:ascii="Wingdings" w:hAnsi="Wingdings" w:hint="default"/>
      </w:rPr>
    </w:lvl>
  </w:abstractNum>
  <w:abstractNum w:abstractNumId="33" w15:restartNumberingAfterBreak="0">
    <w:nsid w:val="601B3388"/>
    <w:multiLevelType w:val="hybridMultilevel"/>
    <w:tmpl w:val="713E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0F4CBE"/>
    <w:multiLevelType w:val="multilevel"/>
    <w:tmpl w:val="5E7631A4"/>
    <w:numStyleLink w:val="HRBullet"/>
  </w:abstractNum>
  <w:abstractNum w:abstractNumId="35" w15:restartNumberingAfterBreak="0">
    <w:nsid w:val="68C93ADF"/>
    <w:multiLevelType w:val="hybridMultilevel"/>
    <w:tmpl w:val="5BFA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E1D96"/>
    <w:multiLevelType w:val="hybridMultilevel"/>
    <w:tmpl w:val="8F56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30251"/>
    <w:multiLevelType w:val="hybridMultilevel"/>
    <w:tmpl w:val="066A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39" w15:restartNumberingAfterBreak="0">
    <w:nsid w:val="6C6074F4"/>
    <w:multiLevelType w:val="hybridMultilevel"/>
    <w:tmpl w:val="3BB60CFC"/>
    <w:lvl w:ilvl="0" w:tplc="1B9A413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6E85216E"/>
    <w:multiLevelType w:val="hybridMultilevel"/>
    <w:tmpl w:val="0F965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E322B5"/>
    <w:multiLevelType w:val="hybridMultilevel"/>
    <w:tmpl w:val="6B18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FFFFF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470CA7"/>
    <w:multiLevelType w:val="hybridMultilevel"/>
    <w:tmpl w:val="1D48C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FA420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24103F2"/>
    <w:multiLevelType w:val="hybridMultilevel"/>
    <w:tmpl w:val="038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F1046"/>
    <w:multiLevelType w:val="hybridMultilevel"/>
    <w:tmpl w:val="39EC7C14"/>
    <w:lvl w:ilvl="0" w:tplc="AC0CF5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78A93B09"/>
    <w:multiLevelType w:val="multilevel"/>
    <w:tmpl w:val="1DFCB98E"/>
    <w:lvl w:ilvl="0">
      <w:start w:val="1"/>
      <w:numFmt w:val="decimal"/>
      <w:lvlText w:val="%1."/>
      <w:lvlJc w:val="left"/>
      <w:pPr>
        <w:ind w:left="567" w:hanging="567"/>
      </w:pPr>
      <w:rPr>
        <w:rFonts w:hint="default"/>
        <w:color w:val="4B4B4B"/>
        <w:sz w:val="20"/>
      </w:rPr>
    </w:lvl>
    <w:lvl w:ilvl="1">
      <w:start w:val="3"/>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194FC2"/>
    <w:multiLevelType w:val="hybridMultilevel"/>
    <w:tmpl w:val="207A5F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D9C1685"/>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1095015">
    <w:abstractNumId w:val="1"/>
  </w:num>
  <w:num w:numId="2" w16cid:durableId="1439790444">
    <w:abstractNumId w:val="12"/>
  </w:num>
  <w:num w:numId="3" w16cid:durableId="1995137599">
    <w:abstractNumId w:val="17"/>
  </w:num>
  <w:num w:numId="4" w16cid:durableId="1523520021">
    <w:abstractNumId w:val="47"/>
  </w:num>
  <w:num w:numId="5" w16cid:durableId="1506703320">
    <w:abstractNumId w:val="49"/>
  </w:num>
  <w:num w:numId="6" w16cid:durableId="1824661274">
    <w:abstractNumId w:val="5"/>
  </w:num>
  <w:num w:numId="7" w16cid:durableId="1485127764">
    <w:abstractNumId w:val="38"/>
  </w:num>
  <w:num w:numId="8" w16cid:durableId="384256211">
    <w:abstractNumId w:val="4"/>
  </w:num>
  <w:num w:numId="9" w16cid:durableId="132867782">
    <w:abstractNumId w:val="42"/>
  </w:num>
  <w:num w:numId="10" w16cid:durableId="423654087">
    <w:abstractNumId w:val="17"/>
  </w:num>
  <w:num w:numId="11" w16cid:durableId="81534580">
    <w:abstractNumId w:val="12"/>
  </w:num>
  <w:num w:numId="12" w16cid:durableId="5327794">
    <w:abstractNumId w:val="40"/>
  </w:num>
  <w:num w:numId="13" w16cid:durableId="512957554">
    <w:abstractNumId w:val="13"/>
  </w:num>
  <w:num w:numId="14" w16cid:durableId="2043701161">
    <w:abstractNumId w:val="31"/>
  </w:num>
  <w:num w:numId="15" w16cid:durableId="224100083">
    <w:abstractNumId w:val="0"/>
  </w:num>
  <w:num w:numId="16" w16cid:durableId="2073505228">
    <w:abstractNumId w:val="23"/>
  </w:num>
  <w:num w:numId="17" w16cid:durableId="381026979">
    <w:abstractNumId w:val="1"/>
  </w:num>
  <w:num w:numId="18" w16cid:durableId="1417359237">
    <w:abstractNumId w:val="24"/>
  </w:num>
  <w:num w:numId="19" w16cid:durableId="1136601915">
    <w:abstractNumId w:val="28"/>
  </w:num>
  <w:num w:numId="20" w16cid:durableId="1141850601">
    <w:abstractNumId w:val="8"/>
  </w:num>
  <w:num w:numId="21" w16cid:durableId="1362975238">
    <w:abstractNumId w:val="36"/>
  </w:num>
  <w:num w:numId="22" w16cid:durableId="1787768202">
    <w:abstractNumId w:val="50"/>
  </w:num>
  <w:num w:numId="23" w16cid:durableId="1175993960">
    <w:abstractNumId w:val="6"/>
  </w:num>
  <w:num w:numId="24" w16cid:durableId="1482624064">
    <w:abstractNumId w:val="22"/>
  </w:num>
  <w:num w:numId="25" w16cid:durableId="794443859">
    <w:abstractNumId w:val="44"/>
  </w:num>
  <w:num w:numId="26" w16cid:durableId="1982807769">
    <w:abstractNumId w:val="26"/>
  </w:num>
  <w:num w:numId="27" w16cid:durableId="1098453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8578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112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291990">
    <w:abstractNumId w:val="25"/>
  </w:num>
  <w:num w:numId="31" w16cid:durableId="831683496">
    <w:abstractNumId w:val="16"/>
  </w:num>
  <w:num w:numId="32" w16cid:durableId="731972936">
    <w:abstractNumId w:val="34"/>
    <w:lvlOverride w:ilvl="0">
      <w:lvl w:ilvl="0">
        <w:start w:val="1"/>
        <w:numFmt w:val="decimal"/>
        <w:pStyle w:val="BulletHymans"/>
        <w:lvlText w:val="%1."/>
        <w:lvlJc w:val="left"/>
        <w:pPr>
          <w:ind w:left="567" w:hanging="567"/>
        </w:pPr>
        <w:rPr>
          <w:rFonts w:hint="default"/>
          <w:b w:val="0"/>
          <w:color w:val="4B4B4B"/>
          <w:sz w:val="20"/>
        </w:rPr>
      </w:lvl>
    </w:lvlOverride>
  </w:num>
  <w:num w:numId="33" w16cid:durableId="1296256449">
    <w:abstractNumId w:val="27"/>
  </w:num>
  <w:num w:numId="34" w16cid:durableId="506332463">
    <w:abstractNumId w:val="35"/>
  </w:num>
  <w:num w:numId="35" w16cid:durableId="189688068">
    <w:abstractNumId w:val="20"/>
  </w:num>
  <w:num w:numId="36" w16cid:durableId="234511617">
    <w:abstractNumId w:val="9"/>
  </w:num>
  <w:num w:numId="37" w16cid:durableId="739057171">
    <w:abstractNumId w:val="1"/>
  </w:num>
  <w:num w:numId="38" w16cid:durableId="1688559125">
    <w:abstractNumId w:val="41"/>
  </w:num>
  <w:num w:numId="39" w16cid:durableId="250939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6544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101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7931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0145421">
    <w:abstractNumId w:val="1"/>
  </w:num>
  <w:num w:numId="44" w16cid:durableId="1044596512">
    <w:abstractNumId w:val="51"/>
  </w:num>
  <w:num w:numId="45" w16cid:durableId="134026757">
    <w:abstractNumId w:val="45"/>
  </w:num>
  <w:num w:numId="46" w16cid:durableId="157203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2525402">
    <w:abstractNumId w:val="11"/>
  </w:num>
  <w:num w:numId="48" w16cid:durableId="1806124830">
    <w:abstractNumId w:val="32"/>
  </w:num>
  <w:num w:numId="49" w16cid:durableId="1029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480393">
    <w:abstractNumId w:val="1"/>
  </w:num>
  <w:num w:numId="51" w16cid:durableId="1131746905">
    <w:abstractNumId w:val="3"/>
  </w:num>
  <w:num w:numId="52" w16cid:durableId="362750223">
    <w:abstractNumId w:val="37"/>
  </w:num>
  <w:num w:numId="53" w16cid:durableId="1269972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6911985">
    <w:abstractNumId w:val="1"/>
  </w:num>
  <w:num w:numId="55" w16cid:durableId="847594480">
    <w:abstractNumId w:val="1"/>
  </w:num>
  <w:num w:numId="56" w16cid:durableId="614138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0211916">
    <w:abstractNumId w:val="1"/>
  </w:num>
  <w:num w:numId="58" w16cid:durableId="1221792608">
    <w:abstractNumId w:val="19"/>
  </w:num>
  <w:num w:numId="59" w16cid:durableId="1151673485">
    <w:abstractNumId w:val="30"/>
  </w:num>
  <w:num w:numId="60" w16cid:durableId="270280107">
    <w:abstractNumId w:val="12"/>
  </w:num>
  <w:num w:numId="61" w16cid:durableId="2001694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4484005">
    <w:abstractNumId w:val="12"/>
  </w:num>
  <w:num w:numId="63" w16cid:durableId="727463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5998832">
    <w:abstractNumId w:val="10"/>
  </w:num>
  <w:num w:numId="65" w16cid:durableId="1739471111">
    <w:abstractNumId w:val="34"/>
    <w:lvlOverride w:ilvl="0">
      <w:lvl w:ilvl="0">
        <w:start w:val="1"/>
        <w:numFmt w:val="decimal"/>
        <w:pStyle w:val="BulletHymans"/>
        <w:lvlText w:val="%1."/>
        <w:lvlJc w:val="left"/>
        <w:pPr>
          <w:ind w:left="567" w:hanging="567"/>
        </w:pPr>
        <w:rPr>
          <w:rFonts w:hint="default"/>
          <w:b w:val="0"/>
          <w:color w:val="4B4B4B"/>
          <w:sz w:val="20"/>
        </w:rPr>
      </w:lvl>
    </w:lvlOverride>
  </w:num>
  <w:num w:numId="66" w16cid:durableId="646932716">
    <w:abstractNumId w:val="43"/>
  </w:num>
  <w:num w:numId="67" w16cid:durableId="87234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60623024">
    <w:abstractNumId w:val="2"/>
  </w:num>
  <w:num w:numId="69" w16cid:durableId="931429667">
    <w:abstractNumId w:val="30"/>
  </w:num>
  <w:num w:numId="70" w16cid:durableId="1461535274">
    <w:abstractNumId w:val="39"/>
  </w:num>
  <w:num w:numId="71" w16cid:durableId="201289447">
    <w:abstractNumId w:val="30"/>
  </w:num>
  <w:num w:numId="72" w16cid:durableId="1746757935">
    <w:abstractNumId w:val="30"/>
  </w:num>
  <w:num w:numId="73" w16cid:durableId="1622304414">
    <w:abstractNumId w:val="48"/>
  </w:num>
  <w:num w:numId="74" w16cid:durableId="1133789893">
    <w:abstractNumId w:val="15"/>
  </w:num>
  <w:num w:numId="75" w16cid:durableId="1023558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2593289">
    <w:abstractNumId w:val="12"/>
  </w:num>
  <w:num w:numId="77" w16cid:durableId="207380303">
    <w:abstractNumId w:val="12"/>
  </w:num>
  <w:num w:numId="78" w16cid:durableId="1577134043">
    <w:abstractNumId w:val="21"/>
  </w:num>
  <w:num w:numId="79" w16cid:durableId="1127773489">
    <w:abstractNumId w:val="7"/>
  </w:num>
  <w:num w:numId="80" w16cid:durableId="1914730619">
    <w:abstractNumId w:val="33"/>
  </w:num>
  <w:num w:numId="81" w16cid:durableId="828790855">
    <w:abstractNumId w:val="46"/>
  </w:num>
  <w:num w:numId="82" w16cid:durableId="1367288723">
    <w:abstractNumId w:val="14"/>
  </w:num>
  <w:num w:numId="83" w16cid:durableId="116536087">
    <w:abstractNumId w:val="18"/>
  </w:num>
  <w:num w:numId="84" w16cid:durableId="1242064630">
    <w:abstractNumId w:val="12"/>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8F"/>
    <w:rsid w:val="00000F34"/>
    <w:rsid w:val="00001111"/>
    <w:rsid w:val="000015CC"/>
    <w:rsid w:val="00002E22"/>
    <w:rsid w:val="0000308C"/>
    <w:rsid w:val="0000321E"/>
    <w:rsid w:val="000049CB"/>
    <w:rsid w:val="00004D7A"/>
    <w:rsid w:val="00005D72"/>
    <w:rsid w:val="0000606C"/>
    <w:rsid w:val="00006818"/>
    <w:rsid w:val="000075D0"/>
    <w:rsid w:val="00010901"/>
    <w:rsid w:val="000112AE"/>
    <w:rsid w:val="0001166D"/>
    <w:rsid w:val="00011AED"/>
    <w:rsid w:val="00014118"/>
    <w:rsid w:val="00014641"/>
    <w:rsid w:val="000152F7"/>
    <w:rsid w:val="000159E2"/>
    <w:rsid w:val="00015F91"/>
    <w:rsid w:val="000164F3"/>
    <w:rsid w:val="00016DCC"/>
    <w:rsid w:val="00017CF0"/>
    <w:rsid w:val="0002094E"/>
    <w:rsid w:val="00021CD2"/>
    <w:rsid w:val="00021F07"/>
    <w:rsid w:val="00022FC2"/>
    <w:rsid w:val="00023A08"/>
    <w:rsid w:val="00023DFF"/>
    <w:rsid w:val="0002520F"/>
    <w:rsid w:val="0002686B"/>
    <w:rsid w:val="00026942"/>
    <w:rsid w:val="00027BF6"/>
    <w:rsid w:val="00032282"/>
    <w:rsid w:val="0003301A"/>
    <w:rsid w:val="0003306F"/>
    <w:rsid w:val="0003314B"/>
    <w:rsid w:val="000338F0"/>
    <w:rsid w:val="00035DA0"/>
    <w:rsid w:val="00036F40"/>
    <w:rsid w:val="00040FB9"/>
    <w:rsid w:val="0004113A"/>
    <w:rsid w:val="00041484"/>
    <w:rsid w:val="0004172F"/>
    <w:rsid w:val="00041A37"/>
    <w:rsid w:val="000426A7"/>
    <w:rsid w:val="00043F01"/>
    <w:rsid w:val="000442D4"/>
    <w:rsid w:val="00044401"/>
    <w:rsid w:val="00046C97"/>
    <w:rsid w:val="0005012C"/>
    <w:rsid w:val="0005092B"/>
    <w:rsid w:val="000513F9"/>
    <w:rsid w:val="000523B3"/>
    <w:rsid w:val="00053637"/>
    <w:rsid w:val="00053839"/>
    <w:rsid w:val="00053A79"/>
    <w:rsid w:val="000548D9"/>
    <w:rsid w:val="00054EB4"/>
    <w:rsid w:val="0005527F"/>
    <w:rsid w:val="00056118"/>
    <w:rsid w:val="00060BC6"/>
    <w:rsid w:val="00061036"/>
    <w:rsid w:val="0006230B"/>
    <w:rsid w:val="0006344F"/>
    <w:rsid w:val="000634CD"/>
    <w:rsid w:val="000639C9"/>
    <w:rsid w:val="0006473D"/>
    <w:rsid w:val="00065D00"/>
    <w:rsid w:val="000672C2"/>
    <w:rsid w:val="000704E7"/>
    <w:rsid w:val="00070A2E"/>
    <w:rsid w:val="00073204"/>
    <w:rsid w:val="00073AE5"/>
    <w:rsid w:val="00073D89"/>
    <w:rsid w:val="00075351"/>
    <w:rsid w:val="000776F1"/>
    <w:rsid w:val="00077DDD"/>
    <w:rsid w:val="000812BE"/>
    <w:rsid w:val="000812F1"/>
    <w:rsid w:val="0008148A"/>
    <w:rsid w:val="00081BBB"/>
    <w:rsid w:val="0008350A"/>
    <w:rsid w:val="00083D90"/>
    <w:rsid w:val="00083EB5"/>
    <w:rsid w:val="000845C7"/>
    <w:rsid w:val="00084BF8"/>
    <w:rsid w:val="000864BA"/>
    <w:rsid w:val="000867FC"/>
    <w:rsid w:val="000874A0"/>
    <w:rsid w:val="000903EE"/>
    <w:rsid w:val="00091C4B"/>
    <w:rsid w:val="00094339"/>
    <w:rsid w:val="00095A18"/>
    <w:rsid w:val="00095CDA"/>
    <w:rsid w:val="00095D64"/>
    <w:rsid w:val="000971F0"/>
    <w:rsid w:val="0009754E"/>
    <w:rsid w:val="000A02A8"/>
    <w:rsid w:val="000A0451"/>
    <w:rsid w:val="000A0510"/>
    <w:rsid w:val="000A07E9"/>
    <w:rsid w:val="000A0899"/>
    <w:rsid w:val="000A1075"/>
    <w:rsid w:val="000A15D0"/>
    <w:rsid w:val="000A173A"/>
    <w:rsid w:val="000A19B9"/>
    <w:rsid w:val="000A3733"/>
    <w:rsid w:val="000A4000"/>
    <w:rsid w:val="000A4E50"/>
    <w:rsid w:val="000A68EE"/>
    <w:rsid w:val="000B16BC"/>
    <w:rsid w:val="000B1E8C"/>
    <w:rsid w:val="000B2300"/>
    <w:rsid w:val="000B3AEC"/>
    <w:rsid w:val="000B4361"/>
    <w:rsid w:val="000B53D9"/>
    <w:rsid w:val="000B61CC"/>
    <w:rsid w:val="000B64C4"/>
    <w:rsid w:val="000B7EC6"/>
    <w:rsid w:val="000C0046"/>
    <w:rsid w:val="000C1163"/>
    <w:rsid w:val="000C1401"/>
    <w:rsid w:val="000C18EA"/>
    <w:rsid w:val="000C2DFA"/>
    <w:rsid w:val="000C3D7F"/>
    <w:rsid w:val="000C5910"/>
    <w:rsid w:val="000C7294"/>
    <w:rsid w:val="000D1F5C"/>
    <w:rsid w:val="000D200B"/>
    <w:rsid w:val="000D2531"/>
    <w:rsid w:val="000D2F03"/>
    <w:rsid w:val="000D3445"/>
    <w:rsid w:val="000D4AAD"/>
    <w:rsid w:val="000D5373"/>
    <w:rsid w:val="000D5C68"/>
    <w:rsid w:val="000D6036"/>
    <w:rsid w:val="000D7181"/>
    <w:rsid w:val="000D7A17"/>
    <w:rsid w:val="000D7F15"/>
    <w:rsid w:val="000E040A"/>
    <w:rsid w:val="000E07BC"/>
    <w:rsid w:val="000E11A0"/>
    <w:rsid w:val="000E21D1"/>
    <w:rsid w:val="000E233F"/>
    <w:rsid w:val="000E2DC3"/>
    <w:rsid w:val="000E4D84"/>
    <w:rsid w:val="000E5361"/>
    <w:rsid w:val="000E5561"/>
    <w:rsid w:val="000E63E7"/>
    <w:rsid w:val="000E6DBC"/>
    <w:rsid w:val="000E7BBB"/>
    <w:rsid w:val="000F08AE"/>
    <w:rsid w:val="000F1F3D"/>
    <w:rsid w:val="000F2D85"/>
    <w:rsid w:val="000F31CE"/>
    <w:rsid w:val="000F33CB"/>
    <w:rsid w:val="000F3AF6"/>
    <w:rsid w:val="000F437C"/>
    <w:rsid w:val="000F4CB9"/>
    <w:rsid w:val="000F611E"/>
    <w:rsid w:val="000F73A6"/>
    <w:rsid w:val="0010038F"/>
    <w:rsid w:val="001013D0"/>
    <w:rsid w:val="0010141C"/>
    <w:rsid w:val="001021F6"/>
    <w:rsid w:val="00103726"/>
    <w:rsid w:val="00105B89"/>
    <w:rsid w:val="00106294"/>
    <w:rsid w:val="001067B5"/>
    <w:rsid w:val="001076D5"/>
    <w:rsid w:val="00107A22"/>
    <w:rsid w:val="0011032C"/>
    <w:rsid w:val="00110DF2"/>
    <w:rsid w:val="00112602"/>
    <w:rsid w:val="0011286F"/>
    <w:rsid w:val="00113E29"/>
    <w:rsid w:val="00114005"/>
    <w:rsid w:val="00114C8D"/>
    <w:rsid w:val="00116E13"/>
    <w:rsid w:val="00116EB0"/>
    <w:rsid w:val="001170B9"/>
    <w:rsid w:val="00117D48"/>
    <w:rsid w:val="001203D8"/>
    <w:rsid w:val="00120F07"/>
    <w:rsid w:val="001218C0"/>
    <w:rsid w:val="001226C3"/>
    <w:rsid w:val="00122C63"/>
    <w:rsid w:val="00122CA2"/>
    <w:rsid w:val="00123151"/>
    <w:rsid w:val="00123803"/>
    <w:rsid w:val="001242A1"/>
    <w:rsid w:val="001242D2"/>
    <w:rsid w:val="00124809"/>
    <w:rsid w:val="0012484A"/>
    <w:rsid w:val="00126FE1"/>
    <w:rsid w:val="001271E5"/>
    <w:rsid w:val="00127D2E"/>
    <w:rsid w:val="001307E4"/>
    <w:rsid w:val="00132137"/>
    <w:rsid w:val="00132C08"/>
    <w:rsid w:val="00133906"/>
    <w:rsid w:val="00133D70"/>
    <w:rsid w:val="00133DA9"/>
    <w:rsid w:val="001346EF"/>
    <w:rsid w:val="001366BA"/>
    <w:rsid w:val="001377EC"/>
    <w:rsid w:val="00137B44"/>
    <w:rsid w:val="00137BB9"/>
    <w:rsid w:val="00140189"/>
    <w:rsid w:val="0014066A"/>
    <w:rsid w:val="00140722"/>
    <w:rsid w:val="00140798"/>
    <w:rsid w:val="0014257D"/>
    <w:rsid w:val="001437AD"/>
    <w:rsid w:val="00143CF9"/>
    <w:rsid w:val="00143DDC"/>
    <w:rsid w:val="00144921"/>
    <w:rsid w:val="00145836"/>
    <w:rsid w:val="001459F9"/>
    <w:rsid w:val="0015034C"/>
    <w:rsid w:val="00151566"/>
    <w:rsid w:val="001515FE"/>
    <w:rsid w:val="00151C95"/>
    <w:rsid w:val="001529EA"/>
    <w:rsid w:val="00152BDF"/>
    <w:rsid w:val="00153B04"/>
    <w:rsid w:val="00154536"/>
    <w:rsid w:val="00155A0C"/>
    <w:rsid w:val="00155D59"/>
    <w:rsid w:val="00156A99"/>
    <w:rsid w:val="00156F81"/>
    <w:rsid w:val="001603D8"/>
    <w:rsid w:val="00161697"/>
    <w:rsid w:val="00161B19"/>
    <w:rsid w:val="00161E32"/>
    <w:rsid w:val="00162A8A"/>
    <w:rsid w:val="00163AEB"/>
    <w:rsid w:val="00164B08"/>
    <w:rsid w:val="00165B6B"/>
    <w:rsid w:val="001674A5"/>
    <w:rsid w:val="00171A87"/>
    <w:rsid w:val="00171DE5"/>
    <w:rsid w:val="00172A40"/>
    <w:rsid w:val="0017360E"/>
    <w:rsid w:val="0017397C"/>
    <w:rsid w:val="00173A57"/>
    <w:rsid w:val="00173C94"/>
    <w:rsid w:val="00174193"/>
    <w:rsid w:val="001769F1"/>
    <w:rsid w:val="00176CAC"/>
    <w:rsid w:val="00176EB0"/>
    <w:rsid w:val="001806BB"/>
    <w:rsid w:val="00180F39"/>
    <w:rsid w:val="0018264C"/>
    <w:rsid w:val="00183D75"/>
    <w:rsid w:val="0018464A"/>
    <w:rsid w:val="0018465C"/>
    <w:rsid w:val="0018565F"/>
    <w:rsid w:val="0018595A"/>
    <w:rsid w:val="001865C2"/>
    <w:rsid w:val="001869B7"/>
    <w:rsid w:val="00186A71"/>
    <w:rsid w:val="001908A7"/>
    <w:rsid w:val="00190AE3"/>
    <w:rsid w:val="00191560"/>
    <w:rsid w:val="001923D9"/>
    <w:rsid w:val="0019331F"/>
    <w:rsid w:val="00193782"/>
    <w:rsid w:val="00193B6E"/>
    <w:rsid w:val="00195642"/>
    <w:rsid w:val="00196911"/>
    <w:rsid w:val="001A155C"/>
    <w:rsid w:val="001A3172"/>
    <w:rsid w:val="001A4608"/>
    <w:rsid w:val="001A5043"/>
    <w:rsid w:val="001A5A6A"/>
    <w:rsid w:val="001A75F7"/>
    <w:rsid w:val="001A78EF"/>
    <w:rsid w:val="001B0A69"/>
    <w:rsid w:val="001B1325"/>
    <w:rsid w:val="001B1BCF"/>
    <w:rsid w:val="001B1D72"/>
    <w:rsid w:val="001B1DC2"/>
    <w:rsid w:val="001B27C7"/>
    <w:rsid w:val="001B5AD7"/>
    <w:rsid w:val="001B71D1"/>
    <w:rsid w:val="001B72DA"/>
    <w:rsid w:val="001B7F37"/>
    <w:rsid w:val="001C00CE"/>
    <w:rsid w:val="001C21CA"/>
    <w:rsid w:val="001C25D0"/>
    <w:rsid w:val="001C4023"/>
    <w:rsid w:val="001C583F"/>
    <w:rsid w:val="001C5C8C"/>
    <w:rsid w:val="001C6056"/>
    <w:rsid w:val="001D1648"/>
    <w:rsid w:val="001D20D3"/>
    <w:rsid w:val="001D2D31"/>
    <w:rsid w:val="001D3988"/>
    <w:rsid w:val="001D3CD6"/>
    <w:rsid w:val="001D563C"/>
    <w:rsid w:val="001E048A"/>
    <w:rsid w:val="001E0A0B"/>
    <w:rsid w:val="001E11DC"/>
    <w:rsid w:val="001E222A"/>
    <w:rsid w:val="001E242F"/>
    <w:rsid w:val="001E3FDF"/>
    <w:rsid w:val="001E4BE6"/>
    <w:rsid w:val="001E51FA"/>
    <w:rsid w:val="001E5467"/>
    <w:rsid w:val="001E5F20"/>
    <w:rsid w:val="001E637E"/>
    <w:rsid w:val="001E7E51"/>
    <w:rsid w:val="001F0925"/>
    <w:rsid w:val="001F09A9"/>
    <w:rsid w:val="001F0A61"/>
    <w:rsid w:val="001F0DB7"/>
    <w:rsid w:val="001F1BEB"/>
    <w:rsid w:val="001F361B"/>
    <w:rsid w:val="001F3A24"/>
    <w:rsid w:val="001F3D06"/>
    <w:rsid w:val="001F3F0A"/>
    <w:rsid w:val="001F4446"/>
    <w:rsid w:val="001F4658"/>
    <w:rsid w:val="001F50B1"/>
    <w:rsid w:val="001F5157"/>
    <w:rsid w:val="001F5697"/>
    <w:rsid w:val="001F5E58"/>
    <w:rsid w:val="001F5FDD"/>
    <w:rsid w:val="001F6BBD"/>
    <w:rsid w:val="00202117"/>
    <w:rsid w:val="002028B7"/>
    <w:rsid w:val="0020292C"/>
    <w:rsid w:val="002040F1"/>
    <w:rsid w:val="00206ECB"/>
    <w:rsid w:val="0020781F"/>
    <w:rsid w:val="002102E2"/>
    <w:rsid w:val="00210413"/>
    <w:rsid w:val="00210C4C"/>
    <w:rsid w:val="00214476"/>
    <w:rsid w:val="00214A2D"/>
    <w:rsid w:val="002155B5"/>
    <w:rsid w:val="00215B23"/>
    <w:rsid w:val="0021630E"/>
    <w:rsid w:val="00216856"/>
    <w:rsid w:val="002168B1"/>
    <w:rsid w:val="00217DD3"/>
    <w:rsid w:val="002214B8"/>
    <w:rsid w:val="00221FE9"/>
    <w:rsid w:val="002231A3"/>
    <w:rsid w:val="00223329"/>
    <w:rsid w:val="0022357F"/>
    <w:rsid w:val="0022403A"/>
    <w:rsid w:val="00224A68"/>
    <w:rsid w:val="00226751"/>
    <w:rsid w:val="002308B8"/>
    <w:rsid w:val="00230D8E"/>
    <w:rsid w:val="00231119"/>
    <w:rsid w:val="0023122A"/>
    <w:rsid w:val="00235A9C"/>
    <w:rsid w:val="00236298"/>
    <w:rsid w:val="002365DA"/>
    <w:rsid w:val="00236B70"/>
    <w:rsid w:val="002379F6"/>
    <w:rsid w:val="0024092C"/>
    <w:rsid w:val="00240E6F"/>
    <w:rsid w:val="002423A7"/>
    <w:rsid w:val="00242B0E"/>
    <w:rsid w:val="002444D9"/>
    <w:rsid w:val="00244988"/>
    <w:rsid w:val="00245268"/>
    <w:rsid w:val="002458E8"/>
    <w:rsid w:val="0024645F"/>
    <w:rsid w:val="00247369"/>
    <w:rsid w:val="00247C1E"/>
    <w:rsid w:val="002518C1"/>
    <w:rsid w:val="00252301"/>
    <w:rsid w:val="00254110"/>
    <w:rsid w:val="00254127"/>
    <w:rsid w:val="002548FA"/>
    <w:rsid w:val="00254E13"/>
    <w:rsid w:val="002555C5"/>
    <w:rsid w:val="0025577A"/>
    <w:rsid w:val="00256B34"/>
    <w:rsid w:val="0025729C"/>
    <w:rsid w:val="00257ABD"/>
    <w:rsid w:val="0026250B"/>
    <w:rsid w:val="00262AB6"/>
    <w:rsid w:val="002660BE"/>
    <w:rsid w:val="002669E4"/>
    <w:rsid w:val="002675D0"/>
    <w:rsid w:val="002707C9"/>
    <w:rsid w:val="00271320"/>
    <w:rsid w:val="00272343"/>
    <w:rsid w:val="002733C6"/>
    <w:rsid w:val="00274151"/>
    <w:rsid w:val="002765EF"/>
    <w:rsid w:val="00277676"/>
    <w:rsid w:val="00277E89"/>
    <w:rsid w:val="00282027"/>
    <w:rsid w:val="0028290E"/>
    <w:rsid w:val="00282F5E"/>
    <w:rsid w:val="002840B5"/>
    <w:rsid w:val="0028551B"/>
    <w:rsid w:val="00285FB9"/>
    <w:rsid w:val="0028676A"/>
    <w:rsid w:val="00286C95"/>
    <w:rsid w:val="002874AA"/>
    <w:rsid w:val="00292239"/>
    <w:rsid w:val="00292C65"/>
    <w:rsid w:val="00293639"/>
    <w:rsid w:val="00293FA8"/>
    <w:rsid w:val="002943D3"/>
    <w:rsid w:val="00294C62"/>
    <w:rsid w:val="0029776A"/>
    <w:rsid w:val="0029792E"/>
    <w:rsid w:val="00297ABA"/>
    <w:rsid w:val="00297CA1"/>
    <w:rsid w:val="002A0815"/>
    <w:rsid w:val="002A0FBA"/>
    <w:rsid w:val="002A39FB"/>
    <w:rsid w:val="002A47EF"/>
    <w:rsid w:val="002A49F5"/>
    <w:rsid w:val="002A5B4C"/>
    <w:rsid w:val="002B0C53"/>
    <w:rsid w:val="002B1303"/>
    <w:rsid w:val="002B19CB"/>
    <w:rsid w:val="002B1B07"/>
    <w:rsid w:val="002B1E75"/>
    <w:rsid w:val="002B2057"/>
    <w:rsid w:val="002B660A"/>
    <w:rsid w:val="002B68EE"/>
    <w:rsid w:val="002B6B63"/>
    <w:rsid w:val="002B6B69"/>
    <w:rsid w:val="002B7623"/>
    <w:rsid w:val="002B7E52"/>
    <w:rsid w:val="002C0368"/>
    <w:rsid w:val="002C04CF"/>
    <w:rsid w:val="002C0D40"/>
    <w:rsid w:val="002C206C"/>
    <w:rsid w:val="002C24EF"/>
    <w:rsid w:val="002C346B"/>
    <w:rsid w:val="002C3C7A"/>
    <w:rsid w:val="002C67D5"/>
    <w:rsid w:val="002C6B8C"/>
    <w:rsid w:val="002C72A3"/>
    <w:rsid w:val="002C78B9"/>
    <w:rsid w:val="002D00D3"/>
    <w:rsid w:val="002D0221"/>
    <w:rsid w:val="002D0537"/>
    <w:rsid w:val="002D0591"/>
    <w:rsid w:val="002D12B6"/>
    <w:rsid w:val="002D14A3"/>
    <w:rsid w:val="002D15D6"/>
    <w:rsid w:val="002D1AD2"/>
    <w:rsid w:val="002D2AC6"/>
    <w:rsid w:val="002D2CF0"/>
    <w:rsid w:val="002D4BA9"/>
    <w:rsid w:val="002D5D31"/>
    <w:rsid w:val="002D67C3"/>
    <w:rsid w:val="002D7FAF"/>
    <w:rsid w:val="002E1AD7"/>
    <w:rsid w:val="002E4964"/>
    <w:rsid w:val="002E4BE8"/>
    <w:rsid w:val="002E6EE2"/>
    <w:rsid w:val="002F05CA"/>
    <w:rsid w:val="002F3A29"/>
    <w:rsid w:val="002F3F87"/>
    <w:rsid w:val="002F4313"/>
    <w:rsid w:val="002F4340"/>
    <w:rsid w:val="002F5050"/>
    <w:rsid w:val="002F5379"/>
    <w:rsid w:val="002F58DA"/>
    <w:rsid w:val="002F5DF1"/>
    <w:rsid w:val="002F68F6"/>
    <w:rsid w:val="002F7AA5"/>
    <w:rsid w:val="00302D29"/>
    <w:rsid w:val="003036D4"/>
    <w:rsid w:val="00303D24"/>
    <w:rsid w:val="003046AF"/>
    <w:rsid w:val="00304C33"/>
    <w:rsid w:val="00305245"/>
    <w:rsid w:val="00305D37"/>
    <w:rsid w:val="00305FA1"/>
    <w:rsid w:val="003076F5"/>
    <w:rsid w:val="00307D84"/>
    <w:rsid w:val="00312518"/>
    <w:rsid w:val="00313123"/>
    <w:rsid w:val="003134DE"/>
    <w:rsid w:val="003137F0"/>
    <w:rsid w:val="003138A8"/>
    <w:rsid w:val="003141FF"/>
    <w:rsid w:val="00315706"/>
    <w:rsid w:val="00315E59"/>
    <w:rsid w:val="00316417"/>
    <w:rsid w:val="00317040"/>
    <w:rsid w:val="00317530"/>
    <w:rsid w:val="0031795F"/>
    <w:rsid w:val="00317C24"/>
    <w:rsid w:val="003200D6"/>
    <w:rsid w:val="00320173"/>
    <w:rsid w:val="00320460"/>
    <w:rsid w:val="003218CF"/>
    <w:rsid w:val="0032468F"/>
    <w:rsid w:val="00327143"/>
    <w:rsid w:val="00327429"/>
    <w:rsid w:val="003277B2"/>
    <w:rsid w:val="003302A8"/>
    <w:rsid w:val="00330920"/>
    <w:rsid w:val="00334408"/>
    <w:rsid w:val="00335743"/>
    <w:rsid w:val="00336B14"/>
    <w:rsid w:val="00336CCD"/>
    <w:rsid w:val="00337703"/>
    <w:rsid w:val="00337F2F"/>
    <w:rsid w:val="00341935"/>
    <w:rsid w:val="00341BB2"/>
    <w:rsid w:val="00341E11"/>
    <w:rsid w:val="00342B3D"/>
    <w:rsid w:val="0034362A"/>
    <w:rsid w:val="0034365A"/>
    <w:rsid w:val="00343EB3"/>
    <w:rsid w:val="00344465"/>
    <w:rsid w:val="00344802"/>
    <w:rsid w:val="00344F62"/>
    <w:rsid w:val="0034539B"/>
    <w:rsid w:val="00347C12"/>
    <w:rsid w:val="00350168"/>
    <w:rsid w:val="003502FA"/>
    <w:rsid w:val="00350394"/>
    <w:rsid w:val="003509E7"/>
    <w:rsid w:val="0035108E"/>
    <w:rsid w:val="003510D4"/>
    <w:rsid w:val="00351432"/>
    <w:rsid w:val="00351B7B"/>
    <w:rsid w:val="003531FB"/>
    <w:rsid w:val="00355AD5"/>
    <w:rsid w:val="003563EC"/>
    <w:rsid w:val="00356D53"/>
    <w:rsid w:val="00357FC6"/>
    <w:rsid w:val="003602B7"/>
    <w:rsid w:val="0036092E"/>
    <w:rsid w:val="00361523"/>
    <w:rsid w:val="00361BC1"/>
    <w:rsid w:val="00361EF4"/>
    <w:rsid w:val="003631DD"/>
    <w:rsid w:val="0036445B"/>
    <w:rsid w:val="00364A89"/>
    <w:rsid w:val="0036592C"/>
    <w:rsid w:val="00365AC7"/>
    <w:rsid w:val="00365FF6"/>
    <w:rsid w:val="003664F3"/>
    <w:rsid w:val="0036798A"/>
    <w:rsid w:val="00370988"/>
    <w:rsid w:val="00371FE4"/>
    <w:rsid w:val="00372359"/>
    <w:rsid w:val="00373034"/>
    <w:rsid w:val="00375D6B"/>
    <w:rsid w:val="00375E11"/>
    <w:rsid w:val="00376619"/>
    <w:rsid w:val="00376730"/>
    <w:rsid w:val="0037690A"/>
    <w:rsid w:val="003807C2"/>
    <w:rsid w:val="003818CA"/>
    <w:rsid w:val="00381B9A"/>
    <w:rsid w:val="00381C15"/>
    <w:rsid w:val="00382BE4"/>
    <w:rsid w:val="00384A0E"/>
    <w:rsid w:val="00384A77"/>
    <w:rsid w:val="0038502E"/>
    <w:rsid w:val="0038670A"/>
    <w:rsid w:val="00386C14"/>
    <w:rsid w:val="00386F03"/>
    <w:rsid w:val="00387453"/>
    <w:rsid w:val="0039044A"/>
    <w:rsid w:val="00390800"/>
    <w:rsid w:val="0039139D"/>
    <w:rsid w:val="0039229A"/>
    <w:rsid w:val="003934D7"/>
    <w:rsid w:val="00393BA1"/>
    <w:rsid w:val="00394A11"/>
    <w:rsid w:val="0039514E"/>
    <w:rsid w:val="00395F30"/>
    <w:rsid w:val="00396D44"/>
    <w:rsid w:val="003A01A8"/>
    <w:rsid w:val="003A241A"/>
    <w:rsid w:val="003A26C3"/>
    <w:rsid w:val="003A3D11"/>
    <w:rsid w:val="003A4760"/>
    <w:rsid w:val="003A4DFA"/>
    <w:rsid w:val="003A5017"/>
    <w:rsid w:val="003A5187"/>
    <w:rsid w:val="003A51DA"/>
    <w:rsid w:val="003A5F22"/>
    <w:rsid w:val="003A6D28"/>
    <w:rsid w:val="003A7A6D"/>
    <w:rsid w:val="003A7C71"/>
    <w:rsid w:val="003A7EDB"/>
    <w:rsid w:val="003B05B8"/>
    <w:rsid w:val="003B09EF"/>
    <w:rsid w:val="003B0E27"/>
    <w:rsid w:val="003B0EFB"/>
    <w:rsid w:val="003B2542"/>
    <w:rsid w:val="003B2A22"/>
    <w:rsid w:val="003B440E"/>
    <w:rsid w:val="003B4D32"/>
    <w:rsid w:val="003B6E88"/>
    <w:rsid w:val="003C074C"/>
    <w:rsid w:val="003C5D9A"/>
    <w:rsid w:val="003D08BD"/>
    <w:rsid w:val="003D132B"/>
    <w:rsid w:val="003D152C"/>
    <w:rsid w:val="003D1A2F"/>
    <w:rsid w:val="003D1C42"/>
    <w:rsid w:val="003D27A0"/>
    <w:rsid w:val="003D28AC"/>
    <w:rsid w:val="003D3DBD"/>
    <w:rsid w:val="003D4FA5"/>
    <w:rsid w:val="003D5283"/>
    <w:rsid w:val="003D6575"/>
    <w:rsid w:val="003D6964"/>
    <w:rsid w:val="003D71A5"/>
    <w:rsid w:val="003E0C03"/>
    <w:rsid w:val="003E1147"/>
    <w:rsid w:val="003E1575"/>
    <w:rsid w:val="003E21C6"/>
    <w:rsid w:val="003E42D3"/>
    <w:rsid w:val="003E47FB"/>
    <w:rsid w:val="003E4E23"/>
    <w:rsid w:val="003E5746"/>
    <w:rsid w:val="003E6943"/>
    <w:rsid w:val="003E7424"/>
    <w:rsid w:val="003E7F0E"/>
    <w:rsid w:val="003F0B83"/>
    <w:rsid w:val="003F0EF5"/>
    <w:rsid w:val="003F1592"/>
    <w:rsid w:val="003F222C"/>
    <w:rsid w:val="003F2370"/>
    <w:rsid w:val="003F2CB2"/>
    <w:rsid w:val="003F3958"/>
    <w:rsid w:val="003F4006"/>
    <w:rsid w:val="003F47B2"/>
    <w:rsid w:val="003F6102"/>
    <w:rsid w:val="003F6561"/>
    <w:rsid w:val="003F6AF2"/>
    <w:rsid w:val="003F6CC3"/>
    <w:rsid w:val="00401D6E"/>
    <w:rsid w:val="00402FDA"/>
    <w:rsid w:val="00403CFD"/>
    <w:rsid w:val="00404341"/>
    <w:rsid w:val="00404C13"/>
    <w:rsid w:val="00405980"/>
    <w:rsid w:val="00406685"/>
    <w:rsid w:val="0040717E"/>
    <w:rsid w:val="004109D2"/>
    <w:rsid w:val="00410CCC"/>
    <w:rsid w:val="00411398"/>
    <w:rsid w:val="00413A3D"/>
    <w:rsid w:val="00413BEC"/>
    <w:rsid w:val="00415295"/>
    <w:rsid w:val="004152F3"/>
    <w:rsid w:val="00420163"/>
    <w:rsid w:val="004207C8"/>
    <w:rsid w:val="00420B6E"/>
    <w:rsid w:val="004235BE"/>
    <w:rsid w:val="00424C77"/>
    <w:rsid w:val="00425A3F"/>
    <w:rsid w:val="00425E54"/>
    <w:rsid w:val="0042686B"/>
    <w:rsid w:val="00426A02"/>
    <w:rsid w:val="00426EF2"/>
    <w:rsid w:val="00427F4B"/>
    <w:rsid w:val="00430681"/>
    <w:rsid w:val="00431115"/>
    <w:rsid w:val="00431340"/>
    <w:rsid w:val="00431A8B"/>
    <w:rsid w:val="00431AF9"/>
    <w:rsid w:val="00431BB6"/>
    <w:rsid w:val="00432759"/>
    <w:rsid w:val="00432994"/>
    <w:rsid w:val="00433924"/>
    <w:rsid w:val="00434703"/>
    <w:rsid w:val="00434E46"/>
    <w:rsid w:val="0043584A"/>
    <w:rsid w:val="004359DC"/>
    <w:rsid w:val="00436DD5"/>
    <w:rsid w:val="0044073A"/>
    <w:rsid w:val="00440EA8"/>
    <w:rsid w:val="00442FDB"/>
    <w:rsid w:val="00443599"/>
    <w:rsid w:val="00445823"/>
    <w:rsid w:val="00445858"/>
    <w:rsid w:val="00446199"/>
    <w:rsid w:val="00446A29"/>
    <w:rsid w:val="00447099"/>
    <w:rsid w:val="00447471"/>
    <w:rsid w:val="0044760D"/>
    <w:rsid w:val="00447687"/>
    <w:rsid w:val="00447771"/>
    <w:rsid w:val="00447A09"/>
    <w:rsid w:val="00447D29"/>
    <w:rsid w:val="004506B6"/>
    <w:rsid w:val="00451435"/>
    <w:rsid w:val="0045329B"/>
    <w:rsid w:val="004535FC"/>
    <w:rsid w:val="00454555"/>
    <w:rsid w:val="00460263"/>
    <w:rsid w:val="00460E22"/>
    <w:rsid w:val="00461C3E"/>
    <w:rsid w:val="00463A2B"/>
    <w:rsid w:val="004675BC"/>
    <w:rsid w:val="004715FC"/>
    <w:rsid w:val="0047296D"/>
    <w:rsid w:val="0047335A"/>
    <w:rsid w:val="0047461F"/>
    <w:rsid w:val="004765CC"/>
    <w:rsid w:val="00476FE4"/>
    <w:rsid w:val="00481805"/>
    <w:rsid w:val="0048263A"/>
    <w:rsid w:val="00482BF4"/>
    <w:rsid w:val="00482C1A"/>
    <w:rsid w:val="004838B9"/>
    <w:rsid w:val="00485A62"/>
    <w:rsid w:val="00486050"/>
    <w:rsid w:val="0048769C"/>
    <w:rsid w:val="004902B1"/>
    <w:rsid w:val="00492D1D"/>
    <w:rsid w:val="00495967"/>
    <w:rsid w:val="00496B48"/>
    <w:rsid w:val="00497A10"/>
    <w:rsid w:val="004A0A42"/>
    <w:rsid w:val="004A12F7"/>
    <w:rsid w:val="004A2272"/>
    <w:rsid w:val="004A3E8A"/>
    <w:rsid w:val="004A3FD8"/>
    <w:rsid w:val="004A4AE8"/>
    <w:rsid w:val="004A4FBC"/>
    <w:rsid w:val="004A592B"/>
    <w:rsid w:val="004A6F56"/>
    <w:rsid w:val="004A7323"/>
    <w:rsid w:val="004A7772"/>
    <w:rsid w:val="004A7AFA"/>
    <w:rsid w:val="004B0006"/>
    <w:rsid w:val="004B2CBE"/>
    <w:rsid w:val="004B31D2"/>
    <w:rsid w:val="004B3FCD"/>
    <w:rsid w:val="004B4029"/>
    <w:rsid w:val="004B5310"/>
    <w:rsid w:val="004B70A7"/>
    <w:rsid w:val="004B78FB"/>
    <w:rsid w:val="004B7C6A"/>
    <w:rsid w:val="004C041B"/>
    <w:rsid w:val="004C0D11"/>
    <w:rsid w:val="004C14AE"/>
    <w:rsid w:val="004C1B9D"/>
    <w:rsid w:val="004C1F16"/>
    <w:rsid w:val="004C2543"/>
    <w:rsid w:val="004C2B57"/>
    <w:rsid w:val="004C301A"/>
    <w:rsid w:val="004C3033"/>
    <w:rsid w:val="004C34A3"/>
    <w:rsid w:val="004C45C5"/>
    <w:rsid w:val="004C5215"/>
    <w:rsid w:val="004C6192"/>
    <w:rsid w:val="004C7920"/>
    <w:rsid w:val="004D0EBC"/>
    <w:rsid w:val="004D1BE9"/>
    <w:rsid w:val="004D1CA9"/>
    <w:rsid w:val="004D1F92"/>
    <w:rsid w:val="004D2423"/>
    <w:rsid w:val="004D2949"/>
    <w:rsid w:val="004D2E11"/>
    <w:rsid w:val="004D414C"/>
    <w:rsid w:val="004D4552"/>
    <w:rsid w:val="004D47F3"/>
    <w:rsid w:val="004D4A03"/>
    <w:rsid w:val="004D54D6"/>
    <w:rsid w:val="004D5C31"/>
    <w:rsid w:val="004D5D66"/>
    <w:rsid w:val="004D61D8"/>
    <w:rsid w:val="004D78FE"/>
    <w:rsid w:val="004D79F2"/>
    <w:rsid w:val="004D7FDB"/>
    <w:rsid w:val="004E0DFD"/>
    <w:rsid w:val="004E1687"/>
    <w:rsid w:val="004E177A"/>
    <w:rsid w:val="004E21D7"/>
    <w:rsid w:val="004E384E"/>
    <w:rsid w:val="004E4BCA"/>
    <w:rsid w:val="004F1CAF"/>
    <w:rsid w:val="004F422F"/>
    <w:rsid w:val="004F4319"/>
    <w:rsid w:val="004F5C25"/>
    <w:rsid w:val="004F5ED1"/>
    <w:rsid w:val="004F6EDD"/>
    <w:rsid w:val="004F705D"/>
    <w:rsid w:val="00500702"/>
    <w:rsid w:val="0050189F"/>
    <w:rsid w:val="00501A60"/>
    <w:rsid w:val="005025F5"/>
    <w:rsid w:val="00502A10"/>
    <w:rsid w:val="00504365"/>
    <w:rsid w:val="00504EE2"/>
    <w:rsid w:val="005064ED"/>
    <w:rsid w:val="00510045"/>
    <w:rsid w:val="00511F30"/>
    <w:rsid w:val="005131BF"/>
    <w:rsid w:val="00513A94"/>
    <w:rsid w:val="00515A95"/>
    <w:rsid w:val="0051603E"/>
    <w:rsid w:val="00517D88"/>
    <w:rsid w:val="00517F6F"/>
    <w:rsid w:val="0052211A"/>
    <w:rsid w:val="00522345"/>
    <w:rsid w:val="0052305F"/>
    <w:rsid w:val="0052317C"/>
    <w:rsid w:val="00523579"/>
    <w:rsid w:val="005238AC"/>
    <w:rsid w:val="00523F4A"/>
    <w:rsid w:val="00524177"/>
    <w:rsid w:val="005247A8"/>
    <w:rsid w:val="0052493B"/>
    <w:rsid w:val="0052592C"/>
    <w:rsid w:val="00526F76"/>
    <w:rsid w:val="00527009"/>
    <w:rsid w:val="00530D6D"/>
    <w:rsid w:val="00531675"/>
    <w:rsid w:val="0053275F"/>
    <w:rsid w:val="00532C95"/>
    <w:rsid w:val="00532DE5"/>
    <w:rsid w:val="00533ECF"/>
    <w:rsid w:val="005345B9"/>
    <w:rsid w:val="0053460B"/>
    <w:rsid w:val="00534DC6"/>
    <w:rsid w:val="00534F7C"/>
    <w:rsid w:val="00536C95"/>
    <w:rsid w:val="005405CC"/>
    <w:rsid w:val="005405EC"/>
    <w:rsid w:val="00541123"/>
    <w:rsid w:val="00541602"/>
    <w:rsid w:val="0054313F"/>
    <w:rsid w:val="00543447"/>
    <w:rsid w:val="0054479C"/>
    <w:rsid w:val="00544912"/>
    <w:rsid w:val="005450CE"/>
    <w:rsid w:val="00550F6A"/>
    <w:rsid w:val="0055182A"/>
    <w:rsid w:val="00552FF1"/>
    <w:rsid w:val="005549C2"/>
    <w:rsid w:val="00554C2D"/>
    <w:rsid w:val="00555073"/>
    <w:rsid w:val="0055508D"/>
    <w:rsid w:val="0055538E"/>
    <w:rsid w:val="005559B9"/>
    <w:rsid w:val="00556C62"/>
    <w:rsid w:val="00557B97"/>
    <w:rsid w:val="00557D0A"/>
    <w:rsid w:val="00560CD7"/>
    <w:rsid w:val="0056170F"/>
    <w:rsid w:val="005618E3"/>
    <w:rsid w:val="005620C1"/>
    <w:rsid w:val="005628D0"/>
    <w:rsid w:val="00562AE7"/>
    <w:rsid w:val="00563646"/>
    <w:rsid w:val="00563F84"/>
    <w:rsid w:val="00564BCF"/>
    <w:rsid w:val="00565054"/>
    <w:rsid w:val="0056536B"/>
    <w:rsid w:val="00565385"/>
    <w:rsid w:val="005658F7"/>
    <w:rsid w:val="00565973"/>
    <w:rsid w:val="00566435"/>
    <w:rsid w:val="00566615"/>
    <w:rsid w:val="00566863"/>
    <w:rsid w:val="005669BD"/>
    <w:rsid w:val="00566BEB"/>
    <w:rsid w:val="00567AAC"/>
    <w:rsid w:val="00570917"/>
    <w:rsid w:val="00570B02"/>
    <w:rsid w:val="00571309"/>
    <w:rsid w:val="00571BCB"/>
    <w:rsid w:val="00575BDD"/>
    <w:rsid w:val="005763C8"/>
    <w:rsid w:val="0057671F"/>
    <w:rsid w:val="00576B9E"/>
    <w:rsid w:val="0057761B"/>
    <w:rsid w:val="00577791"/>
    <w:rsid w:val="00577C5C"/>
    <w:rsid w:val="00577D68"/>
    <w:rsid w:val="005800E0"/>
    <w:rsid w:val="00580207"/>
    <w:rsid w:val="005815E5"/>
    <w:rsid w:val="00582020"/>
    <w:rsid w:val="00582AAF"/>
    <w:rsid w:val="00582B64"/>
    <w:rsid w:val="00582CD0"/>
    <w:rsid w:val="00584CB3"/>
    <w:rsid w:val="005852EF"/>
    <w:rsid w:val="00585EAA"/>
    <w:rsid w:val="00586158"/>
    <w:rsid w:val="00586D58"/>
    <w:rsid w:val="00587487"/>
    <w:rsid w:val="00590EBB"/>
    <w:rsid w:val="00591158"/>
    <w:rsid w:val="00591BAC"/>
    <w:rsid w:val="00591F12"/>
    <w:rsid w:val="00591F7D"/>
    <w:rsid w:val="00592111"/>
    <w:rsid w:val="0059233E"/>
    <w:rsid w:val="005931E3"/>
    <w:rsid w:val="00594DE8"/>
    <w:rsid w:val="00595E46"/>
    <w:rsid w:val="005969E5"/>
    <w:rsid w:val="00597E81"/>
    <w:rsid w:val="005A0DF7"/>
    <w:rsid w:val="005A1F40"/>
    <w:rsid w:val="005A2C7B"/>
    <w:rsid w:val="005A2FF2"/>
    <w:rsid w:val="005A3DE3"/>
    <w:rsid w:val="005B16D1"/>
    <w:rsid w:val="005B1742"/>
    <w:rsid w:val="005B1DF2"/>
    <w:rsid w:val="005B200F"/>
    <w:rsid w:val="005B2D66"/>
    <w:rsid w:val="005B42ED"/>
    <w:rsid w:val="005B524E"/>
    <w:rsid w:val="005B5525"/>
    <w:rsid w:val="005B6DF1"/>
    <w:rsid w:val="005B6FE8"/>
    <w:rsid w:val="005C25EE"/>
    <w:rsid w:val="005C2A6A"/>
    <w:rsid w:val="005C2FF5"/>
    <w:rsid w:val="005C330D"/>
    <w:rsid w:val="005C37A2"/>
    <w:rsid w:val="005C4414"/>
    <w:rsid w:val="005C4490"/>
    <w:rsid w:val="005C48D0"/>
    <w:rsid w:val="005C4A61"/>
    <w:rsid w:val="005C4E06"/>
    <w:rsid w:val="005C5221"/>
    <w:rsid w:val="005C61D4"/>
    <w:rsid w:val="005D05A3"/>
    <w:rsid w:val="005D1020"/>
    <w:rsid w:val="005D1D86"/>
    <w:rsid w:val="005D2836"/>
    <w:rsid w:val="005D2CB5"/>
    <w:rsid w:val="005D379F"/>
    <w:rsid w:val="005D4E27"/>
    <w:rsid w:val="005D56EB"/>
    <w:rsid w:val="005D5D83"/>
    <w:rsid w:val="005D7C1E"/>
    <w:rsid w:val="005E0393"/>
    <w:rsid w:val="005E3524"/>
    <w:rsid w:val="005E3C2F"/>
    <w:rsid w:val="005E3DCA"/>
    <w:rsid w:val="005E4BE7"/>
    <w:rsid w:val="005E5266"/>
    <w:rsid w:val="005E55DC"/>
    <w:rsid w:val="005E5DFB"/>
    <w:rsid w:val="005E67DC"/>
    <w:rsid w:val="005E719B"/>
    <w:rsid w:val="005E7642"/>
    <w:rsid w:val="005E79E7"/>
    <w:rsid w:val="005F09EA"/>
    <w:rsid w:val="005F1CF3"/>
    <w:rsid w:val="005F2E25"/>
    <w:rsid w:val="005F3F44"/>
    <w:rsid w:val="005F4BB6"/>
    <w:rsid w:val="005F50ED"/>
    <w:rsid w:val="005F61F7"/>
    <w:rsid w:val="005F7629"/>
    <w:rsid w:val="005F774B"/>
    <w:rsid w:val="005F77DA"/>
    <w:rsid w:val="00601845"/>
    <w:rsid w:val="0060516E"/>
    <w:rsid w:val="006058BE"/>
    <w:rsid w:val="006059E4"/>
    <w:rsid w:val="00606533"/>
    <w:rsid w:val="0061075C"/>
    <w:rsid w:val="00610E06"/>
    <w:rsid w:val="00612264"/>
    <w:rsid w:val="00613081"/>
    <w:rsid w:val="00613FBF"/>
    <w:rsid w:val="006150CA"/>
    <w:rsid w:val="00616090"/>
    <w:rsid w:val="006163A2"/>
    <w:rsid w:val="00620904"/>
    <w:rsid w:val="00620FC9"/>
    <w:rsid w:val="0062143A"/>
    <w:rsid w:val="006215B4"/>
    <w:rsid w:val="00621E53"/>
    <w:rsid w:val="0062240E"/>
    <w:rsid w:val="00623031"/>
    <w:rsid w:val="00623309"/>
    <w:rsid w:val="00625FED"/>
    <w:rsid w:val="006265F2"/>
    <w:rsid w:val="00633BB5"/>
    <w:rsid w:val="00633F63"/>
    <w:rsid w:val="006340F9"/>
    <w:rsid w:val="0063416B"/>
    <w:rsid w:val="00634983"/>
    <w:rsid w:val="00634F61"/>
    <w:rsid w:val="006356A0"/>
    <w:rsid w:val="0063606F"/>
    <w:rsid w:val="00637AF9"/>
    <w:rsid w:val="006400D1"/>
    <w:rsid w:val="006404D1"/>
    <w:rsid w:val="0064074F"/>
    <w:rsid w:val="00640E32"/>
    <w:rsid w:val="00641AAF"/>
    <w:rsid w:val="00641E34"/>
    <w:rsid w:val="0064257A"/>
    <w:rsid w:val="0064285B"/>
    <w:rsid w:val="00642B84"/>
    <w:rsid w:val="00642BAB"/>
    <w:rsid w:val="00642DD9"/>
    <w:rsid w:val="00643287"/>
    <w:rsid w:val="00643622"/>
    <w:rsid w:val="0064517A"/>
    <w:rsid w:val="00645287"/>
    <w:rsid w:val="0064629C"/>
    <w:rsid w:val="00647E41"/>
    <w:rsid w:val="00647E6E"/>
    <w:rsid w:val="00650BE2"/>
    <w:rsid w:val="00650C4C"/>
    <w:rsid w:val="00652558"/>
    <w:rsid w:val="00653476"/>
    <w:rsid w:val="00653714"/>
    <w:rsid w:val="00654098"/>
    <w:rsid w:val="00655E61"/>
    <w:rsid w:val="006564E4"/>
    <w:rsid w:val="00656968"/>
    <w:rsid w:val="006574C1"/>
    <w:rsid w:val="00661C5E"/>
    <w:rsid w:val="00662801"/>
    <w:rsid w:val="0066370F"/>
    <w:rsid w:val="0066469C"/>
    <w:rsid w:val="00664905"/>
    <w:rsid w:val="0066574D"/>
    <w:rsid w:val="00670475"/>
    <w:rsid w:val="006714D0"/>
    <w:rsid w:val="006729C2"/>
    <w:rsid w:val="00673AE9"/>
    <w:rsid w:val="006747CE"/>
    <w:rsid w:val="00674D15"/>
    <w:rsid w:val="00675EAF"/>
    <w:rsid w:val="00675F05"/>
    <w:rsid w:val="00676811"/>
    <w:rsid w:val="00676D7A"/>
    <w:rsid w:val="00677E6D"/>
    <w:rsid w:val="00677EC6"/>
    <w:rsid w:val="00680432"/>
    <w:rsid w:val="00682A46"/>
    <w:rsid w:val="006833A0"/>
    <w:rsid w:val="006834E8"/>
    <w:rsid w:val="00683EB9"/>
    <w:rsid w:val="00684CF8"/>
    <w:rsid w:val="00685473"/>
    <w:rsid w:val="0068738D"/>
    <w:rsid w:val="00690903"/>
    <w:rsid w:val="00690BEA"/>
    <w:rsid w:val="00690C62"/>
    <w:rsid w:val="00690E1B"/>
    <w:rsid w:val="00691083"/>
    <w:rsid w:val="00692EC9"/>
    <w:rsid w:val="00693805"/>
    <w:rsid w:val="0069498F"/>
    <w:rsid w:val="006950A1"/>
    <w:rsid w:val="00695579"/>
    <w:rsid w:val="00695823"/>
    <w:rsid w:val="006959D0"/>
    <w:rsid w:val="006A11B2"/>
    <w:rsid w:val="006A2624"/>
    <w:rsid w:val="006A3BCD"/>
    <w:rsid w:val="006A4D83"/>
    <w:rsid w:val="006B0379"/>
    <w:rsid w:val="006B12F7"/>
    <w:rsid w:val="006B1587"/>
    <w:rsid w:val="006B16B8"/>
    <w:rsid w:val="006B4CC3"/>
    <w:rsid w:val="006B7A8A"/>
    <w:rsid w:val="006C1086"/>
    <w:rsid w:val="006C1849"/>
    <w:rsid w:val="006C2E18"/>
    <w:rsid w:val="006C34B5"/>
    <w:rsid w:val="006C3767"/>
    <w:rsid w:val="006C38F0"/>
    <w:rsid w:val="006C3A64"/>
    <w:rsid w:val="006C4E9D"/>
    <w:rsid w:val="006C5BA1"/>
    <w:rsid w:val="006C5D87"/>
    <w:rsid w:val="006C79B6"/>
    <w:rsid w:val="006D1568"/>
    <w:rsid w:val="006D2576"/>
    <w:rsid w:val="006D2D77"/>
    <w:rsid w:val="006D3210"/>
    <w:rsid w:val="006D3301"/>
    <w:rsid w:val="006D371F"/>
    <w:rsid w:val="006D4A7B"/>
    <w:rsid w:val="006D634F"/>
    <w:rsid w:val="006D74B9"/>
    <w:rsid w:val="006E01CF"/>
    <w:rsid w:val="006E0854"/>
    <w:rsid w:val="006E345B"/>
    <w:rsid w:val="006E3616"/>
    <w:rsid w:val="006E3662"/>
    <w:rsid w:val="006E3F25"/>
    <w:rsid w:val="006E5C7B"/>
    <w:rsid w:val="006E77F3"/>
    <w:rsid w:val="006E7E87"/>
    <w:rsid w:val="006F1BF4"/>
    <w:rsid w:val="006F212A"/>
    <w:rsid w:val="006F2403"/>
    <w:rsid w:val="006F5869"/>
    <w:rsid w:val="006F5C75"/>
    <w:rsid w:val="006F6954"/>
    <w:rsid w:val="007011A5"/>
    <w:rsid w:val="0070204D"/>
    <w:rsid w:val="0070241B"/>
    <w:rsid w:val="00702464"/>
    <w:rsid w:val="007044E7"/>
    <w:rsid w:val="00705AE7"/>
    <w:rsid w:val="0070722C"/>
    <w:rsid w:val="007072DF"/>
    <w:rsid w:val="00710257"/>
    <w:rsid w:val="0071033F"/>
    <w:rsid w:val="00710355"/>
    <w:rsid w:val="007109BF"/>
    <w:rsid w:val="00710AA7"/>
    <w:rsid w:val="00711FB9"/>
    <w:rsid w:val="0071436B"/>
    <w:rsid w:val="0071488D"/>
    <w:rsid w:val="00715429"/>
    <w:rsid w:val="007157E1"/>
    <w:rsid w:val="00716999"/>
    <w:rsid w:val="00716B78"/>
    <w:rsid w:val="00720E34"/>
    <w:rsid w:val="00721B7A"/>
    <w:rsid w:val="00723B1D"/>
    <w:rsid w:val="00723BEA"/>
    <w:rsid w:val="00725676"/>
    <w:rsid w:val="0072638F"/>
    <w:rsid w:val="007306C4"/>
    <w:rsid w:val="00730FCD"/>
    <w:rsid w:val="00731B4E"/>
    <w:rsid w:val="00731E11"/>
    <w:rsid w:val="00732476"/>
    <w:rsid w:val="007336DE"/>
    <w:rsid w:val="00734067"/>
    <w:rsid w:val="007349BE"/>
    <w:rsid w:val="00734A64"/>
    <w:rsid w:val="00734D49"/>
    <w:rsid w:val="00734DF9"/>
    <w:rsid w:val="00736653"/>
    <w:rsid w:val="007366D9"/>
    <w:rsid w:val="00737DCA"/>
    <w:rsid w:val="00737E71"/>
    <w:rsid w:val="00740F51"/>
    <w:rsid w:val="007417E0"/>
    <w:rsid w:val="00743186"/>
    <w:rsid w:val="00743B6D"/>
    <w:rsid w:val="007447B6"/>
    <w:rsid w:val="00745444"/>
    <w:rsid w:val="00745784"/>
    <w:rsid w:val="00745C95"/>
    <w:rsid w:val="00746529"/>
    <w:rsid w:val="007468C8"/>
    <w:rsid w:val="00746DFF"/>
    <w:rsid w:val="00750566"/>
    <w:rsid w:val="007508DE"/>
    <w:rsid w:val="00751E06"/>
    <w:rsid w:val="00751E34"/>
    <w:rsid w:val="00751E37"/>
    <w:rsid w:val="00751FF4"/>
    <w:rsid w:val="0075364D"/>
    <w:rsid w:val="00753B07"/>
    <w:rsid w:val="00754CC3"/>
    <w:rsid w:val="0075532E"/>
    <w:rsid w:val="00755A99"/>
    <w:rsid w:val="00756205"/>
    <w:rsid w:val="00757A18"/>
    <w:rsid w:val="00761AEC"/>
    <w:rsid w:val="00763215"/>
    <w:rsid w:val="007634C7"/>
    <w:rsid w:val="0076423B"/>
    <w:rsid w:val="00771562"/>
    <w:rsid w:val="007715BA"/>
    <w:rsid w:val="00771BF9"/>
    <w:rsid w:val="00773464"/>
    <w:rsid w:val="00773921"/>
    <w:rsid w:val="00773D48"/>
    <w:rsid w:val="00773FF9"/>
    <w:rsid w:val="0077413B"/>
    <w:rsid w:val="00774B76"/>
    <w:rsid w:val="00774BAF"/>
    <w:rsid w:val="007768C7"/>
    <w:rsid w:val="00780B0B"/>
    <w:rsid w:val="007814A3"/>
    <w:rsid w:val="0078270D"/>
    <w:rsid w:val="00783238"/>
    <w:rsid w:val="00784195"/>
    <w:rsid w:val="007849F9"/>
    <w:rsid w:val="00784C60"/>
    <w:rsid w:val="00784FCA"/>
    <w:rsid w:val="0078511E"/>
    <w:rsid w:val="0078516C"/>
    <w:rsid w:val="00786AE2"/>
    <w:rsid w:val="00787002"/>
    <w:rsid w:val="00787CAE"/>
    <w:rsid w:val="007908ED"/>
    <w:rsid w:val="00791AEA"/>
    <w:rsid w:val="00792414"/>
    <w:rsid w:val="00793B33"/>
    <w:rsid w:val="00793E25"/>
    <w:rsid w:val="007976CE"/>
    <w:rsid w:val="007976FA"/>
    <w:rsid w:val="007A019A"/>
    <w:rsid w:val="007A3747"/>
    <w:rsid w:val="007A3CCC"/>
    <w:rsid w:val="007A4AB5"/>
    <w:rsid w:val="007A5301"/>
    <w:rsid w:val="007A5BC6"/>
    <w:rsid w:val="007A6A4D"/>
    <w:rsid w:val="007A78E0"/>
    <w:rsid w:val="007A7E36"/>
    <w:rsid w:val="007A7EA6"/>
    <w:rsid w:val="007B187F"/>
    <w:rsid w:val="007B1B5C"/>
    <w:rsid w:val="007B654E"/>
    <w:rsid w:val="007B749D"/>
    <w:rsid w:val="007B7F50"/>
    <w:rsid w:val="007C129B"/>
    <w:rsid w:val="007C308A"/>
    <w:rsid w:val="007C38B2"/>
    <w:rsid w:val="007C3931"/>
    <w:rsid w:val="007C3E9E"/>
    <w:rsid w:val="007C4B4F"/>
    <w:rsid w:val="007C56A8"/>
    <w:rsid w:val="007C5A68"/>
    <w:rsid w:val="007C6BE1"/>
    <w:rsid w:val="007C7E8A"/>
    <w:rsid w:val="007D209B"/>
    <w:rsid w:val="007D35AA"/>
    <w:rsid w:val="007D4D53"/>
    <w:rsid w:val="007D5A6A"/>
    <w:rsid w:val="007D794A"/>
    <w:rsid w:val="007E066C"/>
    <w:rsid w:val="007E17A0"/>
    <w:rsid w:val="007E2AA1"/>
    <w:rsid w:val="007E2F73"/>
    <w:rsid w:val="007E34F3"/>
    <w:rsid w:val="007E3A7D"/>
    <w:rsid w:val="007E410F"/>
    <w:rsid w:val="007E4973"/>
    <w:rsid w:val="007E7679"/>
    <w:rsid w:val="007F0904"/>
    <w:rsid w:val="007F090A"/>
    <w:rsid w:val="007F0E65"/>
    <w:rsid w:val="007F1626"/>
    <w:rsid w:val="007F397F"/>
    <w:rsid w:val="007F40EF"/>
    <w:rsid w:val="007F60A8"/>
    <w:rsid w:val="007F73E9"/>
    <w:rsid w:val="007F7407"/>
    <w:rsid w:val="007F79CC"/>
    <w:rsid w:val="007F7BA2"/>
    <w:rsid w:val="0080000E"/>
    <w:rsid w:val="00800676"/>
    <w:rsid w:val="008022E0"/>
    <w:rsid w:val="00802ADD"/>
    <w:rsid w:val="00803A64"/>
    <w:rsid w:val="00806985"/>
    <w:rsid w:val="00806B56"/>
    <w:rsid w:val="00806B6C"/>
    <w:rsid w:val="00807222"/>
    <w:rsid w:val="0080794F"/>
    <w:rsid w:val="00807A5E"/>
    <w:rsid w:val="00807A76"/>
    <w:rsid w:val="008103AB"/>
    <w:rsid w:val="00810443"/>
    <w:rsid w:val="00811769"/>
    <w:rsid w:val="008118F3"/>
    <w:rsid w:val="008152E8"/>
    <w:rsid w:val="00816377"/>
    <w:rsid w:val="0081746C"/>
    <w:rsid w:val="008208DB"/>
    <w:rsid w:val="0082218D"/>
    <w:rsid w:val="0082259A"/>
    <w:rsid w:val="008231A1"/>
    <w:rsid w:val="008237AA"/>
    <w:rsid w:val="00823DBB"/>
    <w:rsid w:val="00823E13"/>
    <w:rsid w:val="00824465"/>
    <w:rsid w:val="00824836"/>
    <w:rsid w:val="008253FE"/>
    <w:rsid w:val="00826010"/>
    <w:rsid w:val="008308A9"/>
    <w:rsid w:val="00830BDA"/>
    <w:rsid w:val="00832179"/>
    <w:rsid w:val="00833545"/>
    <w:rsid w:val="00834EF0"/>
    <w:rsid w:val="0083657B"/>
    <w:rsid w:val="0083773B"/>
    <w:rsid w:val="0084004B"/>
    <w:rsid w:val="00840DB0"/>
    <w:rsid w:val="00841BDF"/>
    <w:rsid w:val="008423BB"/>
    <w:rsid w:val="0084345E"/>
    <w:rsid w:val="00843D0D"/>
    <w:rsid w:val="008456B0"/>
    <w:rsid w:val="00845BBE"/>
    <w:rsid w:val="008464CF"/>
    <w:rsid w:val="00846A0C"/>
    <w:rsid w:val="00847168"/>
    <w:rsid w:val="00850FB9"/>
    <w:rsid w:val="008515FB"/>
    <w:rsid w:val="00852BEC"/>
    <w:rsid w:val="00852C18"/>
    <w:rsid w:val="00852E8A"/>
    <w:rsid w:val="0085396D"/>
    <w:rsid w:val="00854363"/>
    <w:rsid w:val="008551EF"/>
    <w:rsid w:val="00855590"/>
    <w:rsid w:val="0085745B"/>
    <w:rsid w:val="00857462"/>
    <w:rsid w:val="00857E13"/>
    <w:rsid w:val="008604F9"/>
    <w:rsid w:val="00861AC9"/>
    <w:rsid w:val="00861D27"/>
    <w:rsid w:val="0086252E"/>
    <w:rsid w:val="00862D8F"/>
    <w:rsid w:val="0086314D"/>
    <w:rsid w:val="008642D4"/>
    <w:rsid w:val="00864BE1"/>
    <w:rsid w:val="008651A4"/>
    <w:rsid w:val="00866D27"/>
    <w:rsid w:val="0086718E"/>
    <w:rsid w:val="00871006"/>
    <w:rsid w:val="00871499"/>
    <w:rsid w:val="00871E0B"/>
    <w:rsid w:val="00872BE4"/>
    <w:rsid w:val="00873552"/>
    <w:rsid w:val="008736BB"/>
    <w:rsid w:val="0087485B"/>
    <w:rsid w:val="0087526E"/>
    <w:rsid w:val="00875300"/>
    <w:rsid w:val="008757CC"/>
    <w:rsid w:val="00876996"/>
    <w:rsid w:val="00876F61"/>
    <w:rsid w:val="0087735C"/>
    <w:rsid w:val="0087746B"/>
    <w:rsid w:val="00880230"/>
    <w:rsid w:val="008806BD"/>
    <w:rsid w:val="00881345"/>
    <w:rsid w:val="00882EC8"/>
    <w:rsid w:val="0088436E"/>
    <w:rsid w:val="0088537F"/>
    <w:rsid w:val="00885F9D"/>
    <w:rsid w:val="0088600A"/>
    <w:rsid w:val="00892507"/>
    <w:rsid w:val="0089438C"/>
    <w:rsid w:val="00895128"/>
    <w:rsid w:val="008959C4"/>
    <w:rsid w:val="00896214"/>
    <w:rsid w:val="0089625B"/>
    <w:rsid w:val="00896593"/>
    <w:rsid w:val="0089780B"/>
    <w:rsid w:val="008A0835"/>
    <w:rsid w:val="008A08DA"/>
    <w:rsid w:val="008A1A3F"/>
    <w:rsid w:val="008A26CD"/>
    <w:rsid w:val="008A2727"/>
    <w:rsid w:val="008A2E09"/>
    <w:rsid w:val="008A420D"/>
    <w:rsid w:val="008A4B11"/>
    <w:rsid w:val="008A5564"/>
    <w:rsid w:val="008A7B40"/>
    <w:rsid w:val="008B036A"/>
    <w:rsid w:val="008B3413"/>
    <w:rsid w:val="008B3CFF"/>
    <w:rsid w:val="008B3DA3"/>
    <w:rsid w:val="008B415C"/>
    <w:rsid w:val="008B43CC"/>
    <w:rsid w:val="008B449A"/>
    <w:rsid w:val="008B4AA8"/>
    <w:rsid w:val="008B55B6"/>
    <w:rsid w:val="008B5BB6"/>
    <w:rsid w:val="008B66F0"/>
    <w:rsid w:val="008B7396"/>
    <w:rsid w:val="008B7481"/>
    <w:rsid w:val="008C08A3"/>
    <w:rsid w:val="008C08B3"/>
    <w:rsid w:val="008C15C2"/>
    <w:rsid w:val="008C196E"/>
    <w:rsid w:val="008C34DD"/>
    <w:rsid w:val="008C3A46"/>
    <w:rsid w:val="008C4872"/>
    <w:rsid w:val="008C49B4"/>
    <w:rsid w:val="008C58FB"/>
    <w:rsid w:val="008C5A12"/>
    <w:rsid w:val="008C5A25"/>
    <w:rsid w:val="008C63C1"/>
    <w:rsid w:val="008C6647"/>
    <w:rsid w:val="008C7BA1"/>
    <w:rsid w:val="008D05F3"/>
    <w:rsid w:val="008D19F1"/>
    <w:rsid w:val="008D1F4F"/>
    <w:rsid w:val="008D2208"/>
    <w:rsid w:val="008D2798"/>
    <w:rsid w:val="008D3F20"/>
    <w:rsid w:val="008D48B7"/>
    <w:rsid w:val="008D4AAE"/>
    <w:rsid w:val="008D4B79"/>
    <w:rsid w:val="008D5926"/>
    <w:rsid w:val="008D6566"/>
    <w:rsid w:val="008D7EA6"/>
    <w:rsid w:val="008E1746"/>
    <w:rsid w:val="008E212E"/>
    <w:rsid w:val="008E22D5"/>
    <w:rsid w:val="008E279A"/>
    <w:rsid w:val="008E49AA"/>
    <w:rsid w:val="008E5368"/>
    <w:rsid w:val="008E57D0"/>
    <w:rsid w:val="008E5BD3"/>
    <w:rsid w:val="008E5D05"/>
    <w:rsid w:val="008E5F83"/>
    <w:rsid w:val="008E6618"/>
    <w:rsid w:val="008E6E00"/>
    <w:rsid w:val="008F0762"/>
    <w:rsid w:val="008F0C55"/>
    <w:rsid w:val="008F1FF2"/>
    <w:rsid w:val="008F25D7"/>
    <w:rsid w:val="008F2637"/>
    <w:rsid w:val="008F2A83"/>
    <w:rsid w:val="008F35EE"/>
    <w:rsid w:val="008F37CD"/>
    <w:rsid w:val="008F3B1E"/>
    <w:rsid w:val="008F3C53"/>
    <w:rsid w:val="008F4662"/>
    <w:rsid w:val="008F635D"/>
    <w:rsid w:val="008F7079"/>
    <w:rsid w:val="00902329"/>
    <w:rsid w:val="00902582"/>
    <w:rsid w:val="00903EAC"/>
    <w:rsid w:val="009040A5"/>
    <w:rsid w:val="009051FA"/>
    <w:rsid w:val="0090607C"/>
    <w:rsid w:val="00906CA3"/>
    <w:rsid w:val="00907F12"/>
    <w:rsid w:val="00910145"/>
    <w:rsid w:val="00910D52"/>
    <w:rsid w:val="009119BE"/>
    <w:rsid w:val="00911A99"/>
    <w:rsid w:val="009125DD"/>
    <w:rsid w:val="00914867"/>
    <w:rsid w:val="00914EAF"/>
    <w:rsid w:val="009150FF"/>
    <w:rsid w:val="00915457"/>
    <w:rsid w:val="00916BFD"/>
    <w:rsid w:val="009212CE"/>
    <w:rsid w:val="00921DC6"/>
    <w:rsid w:val="00922121"/>
    <w:rsid w:val="009238D1"/>
    <w:rsid w:val="0092629D"/>
    <w:rsid w:val="0093006E"/>
    <w:rsid w:val="009306E5"/>
    <w:rsid w:val="00931168"/>
    <w:rsid w:val="009320AD"/>
    <w:rsid w:val="00933835"/>
    <w:rsid w:val="00933B46"/>
    <w:rsid w:val="00934C9D"/>
    <w:rsid w:val="009358DF"/>
    <w:rsid w:val="00935A5E"/>
    <w:rsid w:val="00935E3F"/>
    <w:rsid w:val="009412DA"/>
    <w:rsid w:val="009413B2"/>
    <w:rsid w:val="0094196F"/>
    <w:rsid w:val="00942389"/>
    <w:rsid w:val="00942710"/>
    <w:rsid w:val="00944B48"/>
    <w:rsid w:val="00944E44"/>
    <w:rsid w:val="00944F83"/>
    <w:rsid w:val="00945623"/>
    <w:rsid w:val="00945B8F"/>
    <w:rsid w:val="00947AEA"/>
    <w:rsid w:val="009506FB"/>
    <w:rsid w:val="009508FE"/>
    <w:rsid w:val="0095122F"/>
    <w:rsid w:val="00951E5F"/>
    <w:rsid w:val="00951E8F"/>
    <w:rsid w:val="00952C70"/>
    <w:rsid w:val="00954358"/>
    <w:rsid w:val="00955C2A"/>
    <w:rsid w:val="009604F1"/>
    <w:rsid w:val="00960D0E"/>
    <w:rsid w:val="00960D17"/>
    <w:rsid w:val="00961C40"/>
    <w:rsid w:val="00962F26"/>
    <w:rsid w:val="00963934"/>
    <w:rsid w:val="009648C5"/>
    <w:rsid w:val="00964D17"/>
    <w:rsid w:val="009661C3"/>
    <w:rsid w:val="00970CE0"/>
    <w:rsid w:val="00971649"/>
    <w:rsid w:val="009720F0"/>
    <w:rsid w:val="00973F1E"/>
    <w:rsid w:val="00973F9A"/>
    <w:rsid w:val="009746CD"/>
    <w:rsid w:val="0097501A"/>
    <w:rsid w:val="009755EB"/>
    <w:rsid w:val="00975E35"/>
    <w:rsid w:val="00976403"/>
    <w:rsid w:val="009769DD"/>
    <w:rsid w:val="009774ED"/>
    <w:rsid w:val="009775C5"/>
    <w:rsid w:val="00980111"/>
    <w:rsid w:val="00980304"/>
    <w:rsid w:val="00980DAB"/>
    <w:rsid w:val="00981D5A"/>
    <w:rsid w:val="00981F05"/>
    <w:rsid w:val="00981F37"/>
    <w:rsid w:val="0098213E"/>
    <w:rsid w:val="0098228F"/>
    <w:rsid w:val="009836CD"/>
    <w:rsid w:val="00985C07"/>
    <w:rsid w:val="009873AD"/>
    <w:rsid w:val="009875C5"/>
    <w:rsid w:val="009903E4"/>
    <w:rsid w:val="00992289"/>
    <w:rsid w:val="0099239D"/>
    <w:rsid w:val="00992DF8"/>
    <w:rsid w:val="00994948"/>
    <w:rsid w:val="00994ED7"/>
    <w:rsid w:val="00995486"/>
    <w:rsid w:val="00995A13"/>
    <w:rsid w:val="00995F7A"/>
    <w:rsid w:val="00996B2C"/>
    <w:rsid w:val="009A060F"/>
    <w:rsid w:val="009A0B65"/>
    <w:rsid w:val="009A2C63"/>
    <w:rsid w:val="009A37E1"/>
    <w:rsid w:val="009A4200"/>
    <w:rsid w:val="009A4943"/>
    <w:rsid w:val="009A5C41"/>
    <w:rsid w:val="009A6142"/>
    <w:rsid w:val="009A6512"/>
    <w:rsid w:val="009A651B"/>
    <w:rsid w:val="009A7AB0"/>
    <w:rsid w:val="009A7BED"/>
    <w:rsid w:val="009A7FF2"/>
    <w:rsid w:val="009B181F"/>
    <w:rsid w:val="009B1C12"/>
    <w:rsid w:val="009B1FB6"/>
    <w:rsid w:val="009B262B"/>
    <w:rsid w:val="009B2D3A"/>
    <w:rsid w:val="009B3060"/>
    <w:rsid w:val="009B3923"/>
    <w:rsid w:val="009B41BA"/>
    <w:rsid w:val="009B4421"/>
    <w:rsid w:val="009B4F09"/>
    <w:rsid w:val="009B625A"/>
    <w:rsid w:val="009B654C"/>
    <w:rsid w:val="009B65D7"/>
    <w:rsid w:val="009B6778"/>
    <w:rsid w:val="009B6885"/>
    <w:rsid w:val="009C154D"/>
    <w:rsid w:val="009C2529"/>
    <w:rsid w:val="009C2E09"/>
    <w:rsid w:val="009C3B44"/>
    <w:rsid w:val="009C508D"/>
    <w:rsid w:val="009C7240"/>
    <w:rsid w:val="009D0F27"/>
    <w:rsid w:val="009D151C"/>
    <w:rsid w:val="009D1968"/>
    <w:rsid w:val="009D2082"/>
    <w:rsid w:val="009D2153"/>
    <w:rsid w:val="009D2D69"/>
    <w:rsid w:val="009D2E0D"/>
    <w:rsid w:val="009D4374"/>
    <w:rsid w:val="009D5250"/>
    <w:rsid w:val="009D55BD"/>
    <w:rsid w:val="009E0342"/>
    <w:rsid w:val="009E0834"/>
    <w:rsid w:val="009E0E86"/>
    <w:rsid w:val="009E1DDA"/>
    <w:rsid w:val="009E2B31"/>
    <w:rsid w:val="009E3F32"/>
    <w:rsid w:val="009E4A70"/>
    <w:rsid w:val="009E5DBD"/>
    <w:rsid w:val="009E6647"/>
    <w:rsid w:val="009E6E78"/>
    <w:rsid w:val="009E788D"/>
    <w:rsid w:val="009E79EB"/>
    <w:rsid w:val="009E7A9D"/>
    <w:rsid w:val="009F086F"/>
    <w:rsid w:val="009F0D08"/>
    <w:rsid w:val="009F14DD"/>
    <w:rsid w:val="009F2422"/>
    <w:rsid w:val="009F2E97"/>
    <w:rsid w:val="009F2FAC"/>
    <w:rsid w:val="009F2FDD"/>
    <w:rsid w:val="009F4566"/>
    <w:rsid w:val="009F6251"/>
    <w:rsid w:val="009F6D7A"/>
    <w:rsid w:val="009F79ED"/>
    <w:rsid w:val="00A003D4"/>
    <w:rsid w:val="00A00522"/>
    <w:rsid w:val="00A00F04"/>
    <w:rsid w:val="00A00F8E"/>
    <w:rsid w:val="00A01EEC"/>
    <w:rsid w:val="00A0255A"/>
    <w:rsid w:val="00A03927"/>
    <w:rsid w:val="00A03C74"/>
    <w:rsid w:val="00A04C72"/>
    <w:rsid w:val="00A104C3"/>
    <w:rsid w:val="00A104F9"/>
    <w:rsid w:val="00A10C22"/>
    <w:rsid w:val="00A12178"/>
    <w:rsid w:val="00A121FA"/>
    <w:rsid w:val="00A128F8"/>
    <w:rsid w:val="00A12FF3"/>
    <w:rsid w:val="00A13261"/>
    <w:rsid w:val="00A134C9"/>
    <w:rsid w:val="00A140EF"/>
    <w:rsid w:val="00A147A8"/>
    <w:rsid w:val="00A1648E"/>
    <w:rsid w:val="00A1656C"/>
    <w:rsid w:val="00A17E90"/>
    <w:rsid w:val="00A20AF3"/>
    <w:rsid w:val="00A21EED"/>
    <w:rsid w:val="00A22335"/>
    <w:rsid w:val="00A22946"/>
    <w:rsid w:val="00A22D8D"/>
    <w:rsid w:val="00A2317B"/>
    <w:rsid w:val="00A232FA"/>
    <w:rsid w:val="00A23C26"/>
    <w:rsid w:val="00A23F64"/>
    <w:rsid w:val="00A24D32"/>
    <w:rsid w:val="00A24FE9"/>
    <w:rsid w:val="00A25871"/>
    <w:rsid w:val="00A31D50"/>
    <w:rsid w:val="00A330EC"/>
    <w:rsid w:val="00A33DB3"/>
    <w:rsid w:val="00A33F22"/>
    <w:rsid w:val="00A35DFC"/>
    <w:rsid w:val="00A36E18"/>
    <w:rsid w:val="00A373B2"/>
    <w:rsid w:val="00A37AD4"/>
    <w:rsid w:val="00A37FE6"/>
    <w:rsid w:val="00A40B74"/>
    <w:rsid w:val="00A410B1"/>
    <w:rsid w:val="00A4130B"/>
    <w:rsid w:val="00A4453B"/>
    <w:rsid w:val="00A47DC4"/>
    <w:rsid w:val="00A5197B"/>
    <w:rsid w:val="00A51D51"/>
    <w:rsid w:val="00A51FBF"/>
    <w:rsid w:val="00A530D2"/>
    <w:rsid w:val="00A54FB2"/>
    <w:rsid w:val="00A57A2A"/>
    <w:rsid w:val="00A60B96"/>
    <w:rsid w:val="00A6135C"/>
    <w:rsid w:val="00A6189F"/>
    <w:rsid w:val="00A62399"/>
    <w:rsid w:val="00A62937"/>
    <w:rsid w:val="00A62A70"/>
    <w:rsid w:val="00A63492"/>
    <w:rsid w:val="00A64344"/>
    <w:rsid w:val="00A64349"/>
    <w:rsid w:val="00A64A19"/>
    <w:rsid w:val="00A64B0F"/>
    <w:rsid w:val="00A652FF"/>
    <w:rsid w:val="00A655FD"/>
    <w:rsid w:val="00A65D6C"/>
    <w:rsid w:val="00A6675C"/>
    <w:rsid w:val="00A6788C"/>
    <w:rsid w:val="00A730F3"/>
    <w:rsid w:val="00A73A41"/>
    <w:rsid w:val="00A73DE9"/>
    <w:rsid w:val="00A759F9"/>
    <w:rsid w:val="00A76181"/>
    <w:rsid w:val="00A774A0"/>
    <w:rsid w:val="00A7750D"/>
    <w:rsid w:val="00A77592"/>
    <w:rsid w:val="00A81511"/>
    <w:rsid w:val="00A8699B"/>
    <w:rsid w:val="00A909E2"/>
    <w:rsid w:val="00A92CDE"/>
    <w:rsid w:val="00A933A9"/>
    <w:rsid w:val="00A96568"/>
    <w:rsid w:val="00A965CE"/>
    <w:rsid w:val="00A968C1"/>
    <w:rsid w:val="00A96995"/>
    <w:rsid w:val="00A97E28"/>
    <w:rsid w:val="00A97E8E"/>
    <w:rsid w:val="00AA0275"/>
    <w:rsid w:val="00AA2056"/>
    <w:rsid w:val="00AA3AAA"/>
    <w:rsid w:val="00AA5A27"/>
    <w:rsid w:val="00AA5C37"/>
    <w:rsid w:val="00AA6509"/>
    <w:rsid w:val="00AA69C7"/>
    <w:rsid w:val="00AA77D3"/>
    <w:rsid w:val="00AB010E"/>
    <w:rsid w:val="00AB0B59"/>
    <w:rsid w:val="00AB1447"/>
    <w:rsid w:val="00AB1A98"/>
    <w:rsid w:val="00AB2027"/>
    <w:rsid w:val="00AB2CDA"/>
    <w:rsid w:val="00AB3D52"/>
    <w:rsid w:val="00AB3EAE"/>
    <w:rsid w:val="00AB4A76"/>
    <w:rsid w:val="00AB568D"/>
    <w:rsid w:val="00AB728A"/>
    <w:rsid w:val="00AB750E"/>
    <w:rsid w:val="00AB7B0B"/>
    <w:rsid w:val="00AC1827"/>
    <w:rsid w:val="00AC1E66"/>
    <w:rsid w:val="00AC1F9E"/>
    <w:rsid w:val="00AC2A2F"/>
    <w:rsid w:val="00AC2FD0"/>
    <w:rsid w:val="00AC34E6"/>
    <w:rsid w:val="00AC4365"/>
    <w:rsid w:val="00AC4DD5"/>
    <w:rsid w:val="00AC54DA"/>
    <w:rsid w:val="00AC720A"/>
    <w:rsid w:val="00AC72C8"/>
    <w:rsid w:val="00AD0212"/>
    <w:rsid w:val="00AD03A3"/>
    <w:rsid w:val="00AD1463"/>
    <w:rsid w:val="00AD1613"/>
    <w:rsid w:val="00AD1A48"/>
    <w:rsid w:val="00AD22AE"/>
    <w:rsid w:val="00AD2D81"/>
    <w:rsid w:val="00AD31CB"/>
    <w:rsid w:val="00AD3818"/>
    <w:rsid w:val="00AD4197"/>
    <w:rsid w:val="00AD4D5C"/>
    <w:rsid w:val="00AD5768"/>
    <w:rsid w:val="00AD655B"/>
    <w:rsid w:val="00AD78F8"/>
    <w:rsid w:val="00AE066C"/>
    <w:rsid w:val="00AE0D08"/>
    <w:rsid w:val="00AE0DDC"/>
    <w:rsid w:val="00AE10BB"/>
    <w:rsid w:val="00AE264A"/>
    <w:rsid w:val="00AE348A"/>
    <w:rsid w:val="00AE58D1"/>
    <w:rsid w:val="00AE58FE"/>
    <w:rsid w:val="00AE6A7C"/>
    <w:rsid w:val="00AE6D27"/>
    <w:rsid w:val="00AF0564"/>
    <w:rsid w:val="00AF11B6"/>
    <w:rsid w:val="00AF1970"/>
    <w:rsid w:val="00AF2C98"/>
    <w:rsid w:val="00AF2F22"/>
    <w:rsid w:val="00AF42F6"/>
    <w:rsid w:val="00AF4B1D"/>
    <w:rsid w:val="00AF6270"/>
    <w:rsid w:val="00AF652D"/>
    <w:rsid w:val="00B006BD"/>
    <w:rsid w:val="00B008B6"/>
    <w:rsid w:val="00B01210"/>
    <w:rsid w:val="00B013A9"/>
    <w:rsid w:val="00B0140C"/>
    <w:rsid w:val="00B02770"/>
    <w:rsid w:val="00B0338D"/>
    <w:rsid w:val="00B05130"/>
    <w:rsid w:val="00B051E1"/>
    <w:rsid w:val="00B0543A"/>
    <w:rsid w:val="00B06D39"/>
    <w:rsid w:val="00B10110"/>
    <w:rsid w:val="00B10326"/>
    <w:rsid w:val="00B10A22"/>
    <w:rsid w:val="00B10B65"/>
    <w:rsid w:val="00B114FB"/>
    <w:rsid w:val="00B1167C"/>
    <w:rsid w:val="00B13339"/>
    <w:rsid w:val="00B13A78"/>
    <w:rsid w:val="00B13B07"/>
    <w:rsid w:val="00B13CDB"/>
    <w:rsid w:val="00B1435E"/>
    <w:rsid w:val="00B14CBE"/>
    <w:rsid w:val="00B15387"/>
    <w:rsid w:val="00B16C15"/>
    <w:rsid w:val="00B21588"/>
    <w:rsid w:val="00B21CD7"/>
    <w:rsid w:val="00B22F3B"/>
    <w:rsid w:val="00B24301"/>
    <w:rsid w:val="00B24841"/>
    <w:rsid w:val="00B25AD2"/>
    <w:rsid w:val="00B25C63"/>
    <w:rsid w:val="00B27221"/>
    <w:rsid w:val="00B27F61"/>
    <w:rsid w:val="00B300C9"/>
    <w:rsid w:val="00B30AAC"/>
    <w:rsid w:val="00B32C79"/>
    <w:rsid w:val="00B32D3D"/>
    <w:rsid w:val="00B33290"/>
    <w:rsid w:val="00B33FB6"/>
    <w:rsid w:val="00B346D3"/>
    <w:rsid w:val="00B351DF"/>
    <w:rsid w:val="00B36F9C"/>
    <w:rsid w:val="00B37291"/>
    <w:rsid w:val="00B3784F"/>
    <w:rsid w:val="00B37C09"/>
    <w:rsid w:val="00B40FC8"/>
    <w:rsid w:val="00B40FE0"/>
    <w:rsid w:val="00B41A60"/>
    <w:rsid w:val="00B41CC6"/>
    <w:rsid w:val="00B41E85"/>
    <w:rsid w:val="00B4245D"/>
    <w:rsid w:val="00B428C5"/>
    <w:rsid w:val="00B42D87"/>
    <w:rsid w:val="00B43808"/>
    <w:rsid w:val="00B43A8A"/>
    <w:rsid w:val="00B45BCC"/>
    <w:rsid w:val="00B45D17"/>
    <w:rsid w:val="00B4735C"/>
    <w:rsid w:val="00B50E5F"/>
    <w:rsid w:val="00B5117C"/>
    <w:rsid w:val="00B5139D"/>
    <w:rsid w:val="00B534EC"/>
    <w:rsid w:val="00B564E8"/>
    <w:rsid w:val="00B56F2D"/>
    <w:rsid w:val="00B634E2"/>
    <w:rsid w:val="00B642F6"/>
    <w:rsid w:val="00B646E0"/>
    <w:rsid w:val="00B6482F"/>
    <w:rsid w:val="00B64A95"/>
    <w:rsid w:val="00B64F8E"/>
    <w:rsid w:val="00B653A7"/>
    <w:rsid w:val="00B65650"/>
    <w:rsid w:val="00B65C1D"/>
    <w:rsid w:val="00B65FEA"/>
    <w:rsid w:val="00B66A13"/>
    <w:rsid w:val="00B66D7C"/>
    <w:rsid w:val="00B6766D"/>
    <w:rsid w:val="00B712C0"/>
    <w:rsid w:val="00B72AEA"/>
    <w:rsid w:val="00B74591"/>
    <w:rsid w:val="00B7587B"/>
    <w:rsid w:val="00B76424"/>
    <w:rsid w:val="00B76AF4"/>
    <w:rsid w:val="00B76C88"/>
    <w:rsid w:val="00B800C0"/>
    <w:rsid w:val="00B8032F"/>
    <w:rsid w:val="00B80965"/>
    <w:rsid w:val="00B81415"/>
    <w:rsid w:val="00B81C4C"/>
    <w:rsid w:val="00B82D47"/>
    <w:rsid w:val="00B84C32"/>
    <w:rsid w:val="00B871F6"/>
    <w:rsid w:val="00B90A21"/>
    <w:rsid w:val="00B90F74"/>
    <w:rsid w:val="00B9170A"/>
    <w:rsid w:val="00B939F8"/>
    <w:rsid w:val="00B949F9"/>
    <w:rsid w:val="00B95283"/>
    <w:rsid w:val="00B962FA"/>
    <w:rsid w:val="00B9656B"/>
    <w:rsid w:val="00BA0961"/>
    <w:rsid w:val="00BA1CA2"/>
    <w:rsid w:val="00BA2C1F"/>
    <w:rsid w:val="00BA3483"/>
    <w:rsid w:val="00BA3753"/>
    <w:rsid w:val="00BA4DB5"/>
    <w:rsid w:val="00BA6285"/>
    <w:rsid w:val="00BA6B7F"/>
    <w:rsid w:val="00BA6EFE"/>
    <w:rsid w:val="00BB0444"/>
    <w:rsid w:val="00BB048F"/>
    <w:rsid w:val="00BB0DC4"/>
    <w:rsid w:val="00BB0F64"/>
    <w:rsid w:val="00BB1596"/>
    <w:rsid w:val="00BB1BE9"/>
    <w:rsid w:val="00BB21C5"/>
    <w:rsid w:val="00BB3392"/>
    <w:rsid w:val="00BB3931"/>
    <w:rsid w:val="00BB4526"/>
    <w:rsid w:val="00BB540F"/>
    <w:rsid w:val="00BB67F5"/>
    <w:rsid w:val="00BB75EE"/>
    <w:rsid w:val="00BB7C7F"/>
    <w:rsid w:val="00BB7DA2"/>
    <w:rsid w:val="00BB7E7E"/>
    <w:rsid w:val="00BC1C61"/>
    <w:rsid w:val="00BC2810"/>
    <w:rsid w:val="00BC2C0F"/>
    <w:rsid w:val="00BC2D44"/>
    <w:rsid w:val="00BC4F3A"/>
    <w:rsid w:val="00BC574C"/>
    <w:rsid w:val="00BC6512"/>
    <w:rsid w:val="00BC666C"/>
    <w:rsid w:val="00BC6746"/>
    <w:rsid w:val="00BC76DD"/>
    <w:rsid w:val="00BD2506"/>
    <w:rsid w:val="00BD2638"/>
    <w:rsid w:val="00BD39FC"/>
    <w:rsid w:val="00BD3FB0"/>
    <w:rsid w:val="00BD4503"/>
    <w:rsid w:val="00BD4D34"/>
    <w:rsid w:val="00BD4FB8"/>
    <w:rsid w:val="00BD6C48"/>
    <w:rsid w:val="00BD7333"/>
    <w:rsid w:val="00BE2A12"/>
    <w:rsid w:val="00BE2DC8"/>
    <w:rsid w:val="00BE36DB"/>
    <w:rsid w:val="00BE4463"/>
    <w:rsid w:val="00BE57AA"/>
    <w:rsid w:val="00BE64C2"/>
    <w:rsid w:val="00BE79F3"/>
    <w:rsid w:val="00BF0E0E"/>
    <w:rsid w:val="00BF0E29"/>
    <w:rsid w:val="00BF0FD5"/>
    <w:rsid w:val="00BF1326"/>
    <w:rsid w:val="00BF2F67"/>
    <w:rsid w:val="00BF376A"/>
    <w:rsid w:val="00BF3C45"/>
    <w:rsid w:val="00BF57D7"/>
    <w:rsid w:val="00BF7841"/>
    <w:rsid w:val="00BF7A29"/>
    <w:rsid w:val="00C0060F"/>
    <w:rsid w:val="00C01193"/>
    <w:rsid w:val="00C01C12"/>
    <w:rsid w:val="00C027EC"/>
    <w:rsid w:val="00C0373D"/>
    <w:rsid w:val="00C03A0D"/>
    <w:rsid w:val="00C03E58"/>
    <w:rsid w:val="00C04320"/>
    <w:rsid w:val="00C0438B"/>
    <w:rsid w:val="00C06131"/>
    <w:rsid w:val="00C06889"/>
    <w:rsid w:val="00C0697E"/>
    <w:rsid w:val="00C06D81"/>
    <w:rsid w:val="00C06EF6"/>
    <w:rsid w:val="00C0734F"/>
    <w:rsid w:val="00C10245"/>
    <w:rsid w:val="00C10A60"/>
    <w:rsid w:val="00C11502"/>
    <w:rsid w:val="00C11538"/>
    <w:rsid w:val="00C11C73"/>
    <w:rsid w:val="00C12DD0"/>
    <w:rsid w:val="00C15511"/>
    <w:rsid w:val="00C16E44"/>
    <w:rsid w:val="00C20A4A"/>
    <w:rsid w:val="00C22078"/>
    <w:rsid w:val="00C2407F"/>
    <w:rsid w:val="00C24570"/>
    <w:rsid w:val="00C25700"/>
    <w:rsid w:val="00C262A5"/>
    <w:rsid w:val="00C27305"/>
    <w:rsid w:val="00C279EA"/>
    <w:rsid w:val="00C27D4D"/>
    <w:rsid w:val="00C30831"/>
    <w:rsid w:val="00C30FA2"/>
    <w:rsid w:val="00C317A9"/>
    <w:rsid w:val="00C32043"/>
    <w:rsid w:val="00C32145"/>
    <w:rsid w:val="00C34C9C"/>
    <w:rsid w:val="00C34FF9"/>
    <w:rsid w:val="00C36829"/>
    <w:rsid w:val="00C37268"/>
    <w:rsid w:val="00C3770F"/>
    <w:rsid w:val="00C37C3B"/>
    <w:rsid w:val="00C4158B"/>
    <w:rsid w:val="00C41851"/>
    <w:rsid w:val="00C41D9D"/>
    <w:rsid w:val="00C43234"/>
    <w:rsid w:val="00C43446"/>
    <w:rsid w:val="00C446F6"/>
    <w:rsid w:val="00C44CFB"/>
    <w:rsid w:val="00C45230"/>
    <w:rsid w:val="00C45DC5"/>
    <w:rsid w:val="00C46141"/>
    <w:rsid w:val="00C469F5"/>
    <w:rsid w:val="00C51560"/>
    <w:rsid w:val="00C51591"/>
    <w:rsid w:val="00C51ED3"/>
    <w:rsid w:val="00C52937"/>
    <w:rsid w:val="00C530F9"/>
    <w:rsid w:val="00C540D0"/>
    <w:rsid w:val="00C55CD8"/>
    <w:rsid w:val="00C56453"/>
    <w:rsid w:val="00C57623"/>
    <w:rsid w:val="00C60B23"/>
    <w:rsid w:val="00C6143B"/>
    <w:rsid w:val="00C61B7B"/>
    <w:rsid w:val="00C628D8"/>
    <w:rsid w:val="00C630CC"/>
    <w:rsid w:val="00C634C9"/>
    <w:rsid w:val="00C63C7B"/>
    <w:rsid w:val="00C63D45"/>
    <w:rsid w:val="00C64428"/>
    <w:rsid w:val="00C65137"/>
    <w:rsid w:val="00C65950"/>
    <w:rsid w:val="00C7175C"/>
    <w:rsid w:val="00C71AA4"/>
    <w:rsid w:val="00C725E4"/>
    <w:rsid w:val="00C72B09"/>
    <w:rsid w:val="00C74C4D"/>
    <w:rsid w:val="00C74EB2"/>
    <w:rsid w:val="00C75ABF"/>
    <w:rsid w:val="00C769B6"/>
    <w:rsid w:val="00C77437"/>
    <w:rsid w:val="00C779C0"/>
    <w:rsid w:val="00C804EB"/>
    <w:rsid w:val="00C80BFB"/>
    <w:rsid w:val="00C83FAA"/>
    <w:rsid w:val="00C84B3D"/>
    <w:rsid w:val="00C84E82"/>
    <w:rsid w:val="00C84F69"/>
    <w:rsid w:val="00C853B2"/>
    <w:rsid w:val="00C866E0"/>
    <w:rsid w:val="00C87315"/>
    <w:rsid w:val="00C8731F"/>
    <w:rsid w:val="00C90121"/>
    <w:rsid w:val="00C901C0"/>
    <w:rsid w:val="00C91F42"/>
    <w:rsid w:val="00C92E6E"/>
    <w:rsid w:val="00C9523C"/>
    <w:rsid w:val="00C95B2E"/>
    <w:rsid w:val="00C97A1C"/>
    <w:rsid w:val="00CA04A7"/>
    <w:rsid w:val="00CA062F"/>
    <w:rsid w:val="00CA08F9"/>
    <w:rsid w:val="00CA0915"/>
    <w:rsid w:val="00CA14D3"/>
    <w:rsid w:val="00CA166B"/>
    <w:rsid w:val="00CA261D"/>
    <w:rsid w:val="00CA26E6"/>
    <w:rsid w:val="00CA55BF"/>
    <w:rsid w:val="00CA6084"/>
    <w:rsid w:val="00CA65CA"/>
    <w:rsid w:val="00CA6ACA"/>
    <w:rsid w:val="00CA6D5F"/>
    <w:rsid w:val="00CA7ADF"/>
    <w:rsid w:val="00CB07BD"/>
    <w:rsid w:val="00CB17D4"/>
    <w:rsid w:val="00CB2AE3"/>
    <w:rsid w:val="00CB2BAF"/>
    <w:rsid w:val="00CB3868"/>
    <w:rsid w:val="00CB3CBB"/>
    <w:rsid w:val="00CB4010"/>
    <w:rsid w:val="00CB43BB"/>
    <w:rsid w:val="00CB4920"/>
    <w:rsid w:val="00CB5791"/>
    <w:rsid w:val="00CB5F27"/>
    <w:rsid w:val="00CB697D"/>
    <w:rsid w:val="00CB70A2"/>
    <w:rsid w:val="00CB7B63"/>
    <w:rsid w:val="00CB7D10"/>
    <w:rsid w:val="00CC2233"/>
    <w:rsid w:val="00CC2982"/>
    <w:rsid w:val="00CC3032"/>
    <w:rsid w:val="00CC3276"/>
    <w:rsid w:val="00CC4E3B"/>
    <w:rsid w:val="00CC59D1"/>
    <w:rsid w:val="00CC619B"/>
    <w:rsid w:val="00CC652C"/>
    <w:rsid w:val="00CC660C"/>
    <w:rsid w:val="00CC6ED8"/>
    <w:rsid w:val="00CD0ABF"/>
    <w:rsid w:val="00CD10A1"/>
    <w:rsid w:val="00CD1D31"/>
    <w:rsid w:val="00CD29AA"/>
    <w:rsid w:val="00CD3C03"/>
    <w:rsid w:val="00CD4788"/>
    <w:rsid w:val="00CD7134"/>
    <w:rsid w:val="00CE0C5F"/>
    <w:rsid w:val="00CE175F"/>
    <w:rsid w:val="00CE21FB"/>
    <w:rsid w:val="00CE224B"/>
    <w:rsid w:val="00CE336E"/>
    <w:rsid w:val="00CE3F81"/>
    <w:rsid w:val="00CE4366"/>
    <w:rsid w:val="00CE539A"/>
    <w:rsid w:val="00CE5F53"/>
    <w:rsid w:val="00CE610F"/>
    <w:rsid w:val="00CE65DA"/>
    <w:rsid w:val="00CE6BEB"/>
    <w:rsid w:val="00CE6C4B"/>
    <w:rsid w:val="00CE700F"/>
    <w:rsid w:val="00CE767F"/>
    <w:rsid w:val="00CF12E2"/>
    <w:rsid w:val="00CF1FDE"/>
    <w:rsid w:val="00CF6127"/>
    <w:rsid w:val="00CF61DD"/>
    <w:rsid w:val="00CF6827"/>
    <w:rsid w:val="00CF76C9"/>
    <w:rsid w:val="00D001EE"/>
    <w:rsid w:val="00D009E3"/>
    <w:rsid w:val="00D02A3E"/>
    <w:rsid w:val="00D03620"/>
    <w:rsid w:val="00D0599A"/>
    <w:rsid w:val="00D06E95"/>
    <w:rsid w:val="00D076C1"/>
    <w:rsid w:val="00D07AC8"/>
    <w:rsid w:val="00D10AE0"/>
    <w:rsid w:val="00D11174"/>
    <w:rsid w:val="00D11B21"/>
    <w:rsid w:val="00D137F0"/>
    <w:rsid w:val="00D1399D"/>
    <w:rsid w:val="00D144BF"/>
    <w:rsid w:val="00D1539A"/>
    <w:rsid w:val="00D154CB"/>
    <w:rsid w:val="00D16105"/>
    <w:rsid w:val="00D169DB"/>
    <w:rsid w:val="00D179B2"/>
    <w:rsid w:val="00D17BB3"/>
    <w:rsid w:val="00D17F0D"/>
    <w:rsid w:val="00D216B3"/>
    <w:rsid w:val="00D21B3D"/>
    <w:rsid w:val="00D21BA2"/>
    <w:rsid w:val="00D223BB"/>
    <w:rsid w:val="00D23292"/>
    <w:rsid w:val="00D23946"/>
    <w:rsid w:val="00D23C8A"/>
    <w:rsid w:val="00D25670"/>
    <w:rsid w:val="00D25904"/>
    <w:rsid w:val="00D259F9"/>
    <w:rsid w:val="00D26106"/>
    <w:rsid w:val="00D3108D"/>
    <w:rsid w:val="00D317F9"/>
    <w:rsid w:val="00D31860"/>
    <w:rsid w:val="00D322AF"/>
    <w:rsid w:val="00D322E7"/>
    <w:rsid w:val="00D32DB7"/>
    <w:rsid w:val="00D34D33"/>
    <w:rsid w:val="00D34D4C"/>
    <w:rsid w:val="00D36216"/>
    <w:rsid w:val="00D363BA"/>
    <w:rsid w:val="00D36DCE"/>
    <w:rsid w:val="00D3740F"/>
    <w:rsid w:val="00D37ADA"/>
    <w:rsid w:val="00D42647"/>
    <w:rsid w:val="00D44479"/>
    <w:rsid w:val="00D447F4"/>
    <w:rsid w:val="00D45372"/>
    <w:rsid w:val="00D4591A"/>
    <w:rsid w:val="00D46935"/>
    <w:rsid w:val="00D47538"/>
    <w:rsid w:val="00D476C4"/>
    <w:rsid w:val="00D479B4"/>
    <w:rsid w:val="00D50267"/>
    <w:rsid w:val="00D51230"/>
    <w:rsid w:val="00D51D28"/>
    <w:rsid w:val="00D52C56"/>
    <w:rsid w:val="00D542E9"/>
    <w:rsid w:val="00D546E7"/>
    <w:rsid w:val="00D54C11"/>
    <w:rsid w:val="00D55242"/>
    <w:rsid w:val="00D57DDF"/>
    <w:rsid w:val="00D6001F"/>
    <w:rsid w:val="00D60190"/>
    <w:rsid w:val="00D60351"/>
    <w:rsid w:val="00D6041B"/>
    <w:rsid w:val="00D61105"/>
    <w:rsid w:val="00D61232"/>
    <w:rsid w:val="00D616B6"/>
    <w:rsid w:val="00D6170E"/>
    <w:rsid w:val="00D63229"/>
    <w:rsid w:val="00D63B88"/>
    <w:rsid w:val="00D64F9B"/>
    <w:rsid w:val="00D65C65"/>
    <w:rsid w:val="00D66D15"/>
    <w:rsid w:val="00D674A1"/>
    <w:rsid w:val="00D676D1"/>
    <w:rsid w:val="00D67E3F"/>
    <w:rsid w:val="00D7006A"/>
    <w:rsid w:val="00D707C5"/>
    <w:rsid w:val="00D714B3"/>
    <w:rsid w:val="00D71B47"/>
    <w:rsid w:val="00D7242A"/>
    <w:rsid w:val="00D726A9"/>
    <w:rsid w:val="00D73589"/>
    <w:rsid w:val="00D75046"/>
    <w:rsid w:val="00D76820"/>
    <w:rsid w:val="00D77D0D"/>
    <w:rsid w:val="00D80031"/>
    <w:rsid w:val="00D81B2B"/>
    <w:rsid w:val="00D83136"/>
    <w:rsid w:val="00D831AA"/>
    <w:rsid w:val="00D83D42"/>
    <w:rsid w:val="00D83FA5"/>
    <w:rsid w:val="00D85601"/>
    <w:rsid w:val="00D85D8F"/>
    <w:rsid w:val="00D87EA6"/>
    <w:rsid w:val="00D90136"/>
    <w:rsid w:val="00D932B0"/>
    <w:rsid w:val="00D93EF2"/>
    <w:rsid w:val="00D94E3F"/>
    <w:rsid w:val="00D97F7E"/>
    <w:rsid w:val="00DA02D2"/>
    <w:rsid w:val="00DA1919"/>
    <w:rsid w:val="00DA1BA7"/>
    <w:rsid w:val="00DA27DD"/>
    <w:rsid w:val="00DA32D0"/>
    <w:rsid w:val="00DA4D8A"/>
    <w:rsid w:val="00DA6C00"/>
    <w:rsid w:val="00DA6F77"/>
    <w:rsid w:val="00DB0326"/>
    <w:rsid w:val="00DB233C"/>
    <w:rsid w:val="00DB2F10"/>
    <w:rsid w:val="00DB3C6C"/>
    <w:rsid w:val="00DB3E2F"/>
    <w:rsid w:val="00DB50EC"/>
    <w:rsid w:val="00DB540C"/>
    <w:rsid w:val="00DB5441"/>
    <w:rsid w:val="00DB5931"/>
    <w:rsid w:val="00DB5A81"/>
    <w:rsid w:val="00DB5D3A"/>
    <w:rsid w:val="00DB608A"/>
    <w:rsid w:val="00DB6F9E"/>
    <w:rsid w:val="00DB7D32"/>
    <w:rsid w:val="00DC37B0"/>
    <w:rsid w:val="00DC3AB0"/>
    <w:rsid w:val="00DC4DC3"/>
    <w:rsid w:val="00DC4F50"/>
    <w:rsid w:val="00DC6160"/>
    <w:rsid w:val="00DC66C2"/>
    <w:rsid w:val="00DD0ED1"/>
    <w:rsid w:val="00DD1068"/>
    <w:rsid w:val="00DD3A40"/>
    <w:rsid w:val="00DD3BDF"/>
    <w:rsid w:val="00DD40F2"/>
    <w:rsid w:val="00DD51CE"/>
    <w:rsid w:val="00DD5340"/>
    <w:rsid w:val="00DD564A"/>
    <w:rsid w:val="00DD5E25"/>
    <w:rsid w:val="00DD61C6"/>
    <w:rsid w:val="00DD654C"/>
    <w:rsid w:val="00DD691D"/>
    <w:rsid w:val="00DE2A7C"/>
    <w:rsid w:val="00DE3833"/>
    <w:rsid w:val="00DE3F3F"/>
    <w:rsid w:val="00DE6504"/>
    <w:rsid w:val="00DE65F1"/>
    <w:rsid w:val="00DE7205"/>
    <w:rsid w:val="00DE793F"/>
    <w:rsid w:val="00DF0E3B"/>
    <w:rsid w:val="00DF31AB"/>
    <w:rsid w:val="00DF4626"/>
    <w:rsid w:val="00DF4A9B"/>
    <w:rsid w:val="00DF5B46"/>
    <w:rsid w:val="00DF6B9C"/>
    <w:rsid w:val="00DF6FE7"/>
    <w:rsid w:val="00DF70F2"/>
    <w:rsid w:val="00DF767F"/>
    <w:rsid w:val="00E00022"/>
    <w:rsid w:val="00E01971"/>
    <w:rsid w:val="00E0224E"/>
    <w:rsid w:val="00E022C7"/>
    <w:rsid w:val="00E027DE"/>
    <w:rsid w:val="00E02A5F"/>
    <w:rsid w:val="00E03F0B"/>
    <w:rsid w:val="00E048D5"/>
    <w:rsid w:val="00E049D6"/>
    <w:rsid w:val="00E04AAC"/>
    <w:rsid w:val="00E05E4A"/>
    <w:rsid w:val="00E06427"/>
    <w:rsid w:val="00E06CA3"/>
    <w:rsid w:val="00E06DE1"/>
    <w:rsid w:val="00E07C76"/>
    <w:rsid w:val="00E07F8B"/>
    <w:rsid w:val="00E10675"/>
    <w:rsid w:val="00E109EC"/>
    <w:rsid w:val="00E11638"/>
    <w:rsid w:val="00E11E79"/>
    <w:rsid w:val="00E1292C"/>
    <w:rsid w:val="00E13D59"/>
    <w:rsid w:val="00E14E5D"/>
    <w:rsid w:val="00E15C85"/>
    <w:rsid w:val="00E15CC8"/>
    <w:rsid w:val="00E16E77"/>
    <w:rsid w:val="00E21B8B"/>
    <w:rsid w:val="00E21ED1"/>
    <w:rsid w:val="00E23281"/>
    <w:rsid w:val="00E23480"/>
    <w:rsid w:val="00E23F59"/>
    <w:rsid w:val="00E2448C"/>
    <w:rsid w:val="00E24F76"/>
    <w:rsid w:val="00E25A79"/>
    <w:rsid w:val="00E30DAC"/>
    <w:rsid w:val="00E30E6E"/>
    <w:rsid w:val="00E3155F"/>
    <w:rsid w:val="00E31F99"/>
    <w:rsid w:val="00E3213D"/>
    <w:rsid w:val="00E33EEC"/>
    <w:rsid w:val="00E345EA"/>
    <w:rsid w:val="00E34D1F"/>
    <w:rsid w:val="00E34DEE"/>
    <w:rsid w:val="00E357ED"/>
    <w:rsid w:val="00E366A4"/>
    <w:rsid w:val="00E36769"/>
    <w:rsid w:val="00E367BD"/>
    <w:rsid w:val="00E375AF"/>
    <w:rsid w:val="00E40547"/>
    <w:rsid w:val="00E405F2"/>
    <w:rsid w:val="00E416C6"/>
    <w:rsid w:val="00E42049"/>
    <w:rsid w:val="00E42972"/>
    <w:rsid w:val="00E42EDB"/>
    <w:rsid w:val="00E435E5"/>
    <w:rsid w:val="00E43D64"/>
    <w:rsid w:val="00E440D3"/>
    <w:rsid w:val="00E46349"/>
    <w:rsid w:val="00E46AA5"/>
    <w:rsid w:val="00E53593"/>
    <w:rsid w:val="00E54295"/>
    <w:rsid w:val="00E54788"/>
    <w:rsid w:val="00E54812"/>
    <w:rsid w:val="00E54BDC"/>
    <w:rsid w:val="00E55D88"/>
    <w:rsid w:val="00E56113"/>
    <w:rsid w:val="00E56785"/>
    <w:rsid w:val="00E56B92"/>
    <w:rsid w:val="00E57572"/>
    <w:rsid w:val="00E57734"/>
    <w:rsid w:val="00E60E6E"/>
    <w:rsid w:val="00E6180E"/>
    <w:rsid w:val="00E6280A"/>
    <w:rsid w:val="00E6304A"/>
    <w:rsid w:val="00E64AC8"/>
    <w:rsid w:val="00E668DC"/>
    <w:rsid w:val="00E71ECF"/>
    <w:rsid w:val="00E74347"/>
    <w:rsid w:val="00E75B7A"/>
    <w:rsid w:val="00E762F7"/>
    <w:rsid w:val="00E7796D"/>
    <w:rsid w:val="00E77D0A"/>
    <w:rsid w:val="00E80005"/>
    <w:rsid w:val="00E8009E"/>
    <w:rsid w:val="00E8040D"/>
    <w:rsid w:val="00E82873"/>
    <w:rsid w:val="00E82D70"/>
    <w:rsid w:val="00E83A6F"/>
    <w:rsid w:val="00E912D4"/>
    <w:rsid w:val="00E934FE"/>
    <w:rsid w:val="00E93E0E"/>
    <w:rsid w:val="00E9581D"/>
    <w:rsid w:val="00E95BB8"/>
    <w:rsid w:val="00EA15FB"/>
    <w:rsid w:val="00EA2C65"/>
    <w:rsid w:val="00EA2FB5"/>
    <w:rsid w:val="00EA34BC"/>
    <w:rsid w:val="00EA411F"/>
    <w:rsid w:val="00EA4300"/>
    <w:rsid w:val="00EA4994"/>
    <w:rsid w:val="00EA4D22"/>
    <w:rsid w:val="00EA4E6E"/>
    <w:rsid w:val="00EA5AE2"/>
    <w:rsid w:val="00EA6FD5"/>
    <w:rsid w:val="00EA7566"/>
    <w:rsid w:val="00EA7932"/>
    <w:rsid w:val="00EB0404"/>
    <w:rsid w:val="00EB1C3E"/>
    <w:rsid w:val="00EB25DF"/>
    <w:rsid w:val="00EB2E2F"/>
    <w:rsid w:val="00EB3474"/>
    <w:rsid w:val="00EB3BD4"/>
    <w:rsid w:val="00EB3C98"/>
    <w:rsid w:val="00EB3E33"/>
    <w:rsid w:val="00EB46D6"/>
    <w:rsid w:val="00EB493C"/>
    <w:rsid w:val="00EB5603"/>
    <w:rsid w:val="00EB589C"/>
    <w:rsid w:val="00EB5E60"/>
    <w:rsid w:val="00EB75EE"/>
    <w:rsid w:val="00EB765F"/>
    <w:rsid w:val="00EC245A"/>
    <w:rsid w:val="00EC34A7"/>
    <w:rsid w:val="00EC4164"/>
    <w:rsid w:val="00EC5C47"/>
    <w:rsid w:val="00EC67E9"/>
    <w:rsid w:val="00EC6EE4"/>
    <w:rsid w:val="00EC6FF7"/>
    <w:rsid w:val="00ED0FB6"/>
    <w:rsid w:val="00ED1ECA"/>
    <w:rsid w:val="00ED2C23"/>
    <w:rsid w:val="00ED2E34"/>
    <w:rsid w:val="00ED3818"/>
    <w:rsid w:val="00ED3B92"/>
    <w:rsid w:val="00ED4273"/>
    <w:rsid w:val="00ED456A"/>
    <w:rsid w:val="00ED7DD6"/>
    <w:rsid w:val="00ED7DF5"/>
    <w:rsid w:val="00EE2D1F"/>
    <w:rsid w:val="00EE3FCD"/>
    <w:rsid w:val="00EE46A9"/>
    <w:rsid w:val="00EE4DD9"/>
    <w:rsid w:val="00EE4DE7"/>
    <w:rsid w:val="00EE52C5"/>
    <w:rsid w:val="00EE5DD8"/>
    <w:rsid w:val="00EE679D"/>
    <w:rsid w:val="00EE6CB3"/>
    <w:rsid w:val="00EE77F6"/>
    <w:rsid w:val="00EE7A6E"/>
    <w:rsid w:val="00EE7F51"/>
    <w:rsid w:val="00EF1D52"/>
    <w:rsid w:val="00EF1F81"/>
    <w:rsid w:val="00EF2092"/>
    <w:rsid w:val="00EF2639"/>
    <w:rsid w:val="00EF3559"/>
    <w:rsid w:val="00EF45CE"/>
    <w:rsid w:val="00EF6F99"/>
    <w:rsid w:val="00F001A2"/>
    <w:rsid w:val="00F01EEF"/>
    <w:rsid w:val="00F03388"/>
    <w:rsid w:val="00F03718"/>
    <w:rsid w:val="00F03D84"/>
    <w:rsid w:val="00F047C9"/>
    <w:rsid w:val="00F04BF9"/>
    <w:rsid w:val="00F05B3C"/>
    <w:rsid w:val="00F07AC7"/>
    <w:rsid w:val="00F10B96"/>
    <w:rsid w:val="00F120FC"/>
    <w:rsid w:val="00F14EB3"/>
    <w:rsid w:val="00F1517C"/>
    <w:rsid w:val="00F15804"/>
    <w:rsid w:val="00F15978"/>
    <w:rsid w:val="00F15E0F"/>
    <w:rsid w:val="00F17265"/>
    <w:rsid w:val="00F2049A"/>
    <w:rsid w:val="00F21632"/>
    <w:rsid w:val="00F238BD"/>
    <w:rsid w:val="00F23E0A"/>
    <w:rsid w:val="00F2453C"/>
    <w:rsid w:val="00F24D23"/>
    <w:rsid w:val="00F24FC1"/>
    <w:rsid w:val="00F268F1"/>
    <w:rsid w:val="00F26B1B"/>
    <w:rsid w:val="00F26F65"/>
    <w:rsid w:val="00F273C6"/>
    <w:rsid w:val="00F27940"/>
    <w:rsid w:val="00F309FF"/>
    <w:rsid w:val="00F30D92"/>
    <w:rsid w:val="00F31A8E"/>
    <w:rsid w:val="00F334D5"/>
    <w:rsid w:val="00F3375B"/>
    <w:rsid w:val="00F33F3B"/>
    <w:rsid w:val="00F34946"/>
    <w:rsid w:val="00F350D7"/>
    <w:rsid w:val="00F3527F"/>
    <w:rsid w:val="00F361BF"/>
    <w:rsid w:val="00F368AD"/>
    <w:rsid w:val="00F36C89"/>
    <w:rsid w:val="00F371E9"/>
    <w:rsid w:val="00F37774"/>
    <w:rsid w:val="00F37EF8"/>
    <w:rsid w:val="00F40298"/>
    <w:rsid w:val="00F40D00"/>
    <w:rsid w:val="00F41839"/>
    <w:rsid w:val="00F442AD"/>
    <w:rsid w:val="00F4456F"/>
    <w:rsid w:val="00F454DE"/>
    <w:rsid w:val="00F45F71"/>
    <w:rsid w:val="00F515DB"/>
    <w:rsid w:val="00F52187"/>
    <w:rsid w:val="00F53D73"/>
    <w:rsid w:val="00F53E68"/>
    <w:rsid w:val="00F54A86"/>
    <w:rsid w:val="00F553B4"/>
    <w:rsid w:val="00F55506"/>
    <w:rsid w:val="00F5562F"/>
    <w:rsid w:val="00F563C8"/>
    <w:rsid w:val="00F56C27"/>
    <w:rsid w:val="00F61DD1"/>
    <w:rsid w:val="00F6248C"/>
    <w:rsid w:val="00F6250F"/>
    <w:rsid w:val="00F63AA9"/>
    <w:rsid w:val="00F63F3F"/>
    <w:rsid w:val="00F64278"/>
    <w:rsid w:val="00F6472E"/>
    <w:rsid w:val="00F64D01"/>
    <w:rsid w:val="00F64EDA"/>
    <w:rsid w:val="00F65177"/>
    <w:rsid w:val="00F66879"/>
    <w:rsid w:val="00F66B0B"/>
    <w:rsid w:val="00F671E3"/>
    <w:rsid w:val="00F71DD6"/>
    <w:rsid w:val="00F731E4"/>
    <w:rsid w:val="00F73DB0"/>
    <w:rsid w:val="00F753CD"/>
    <w:rsid w:val="00F76037"/>
    <w:rsid w:val="00F76B00"/>
    <w:rsid w:val="00F77250"/>
    <w:rsid w:val="00F80C60"/>
    <w:rsid w:val="00F80CE0"/>
    <w:rsid w:val="00F80CF7"/>
    <w:rsid w:val="00F8137C"/>
    <w:rsid w:val="00F81D29"/>
    <w:rsid w:val="00F8200F"/>
    <w:rsid w:val="00F832C9"/>
    <w:rsid w:val="00F832E3"/>
    <w:rsid w:val="00F839F1"/>
    <w:rsid w:val="00F843E2"/>
    <w:rsid w:val="00F85295"/>
    <w:rsid w:val="00F8537C"/>
    <w:rsid w:val="00F8764D"/>
    <w:rsid w:val="00F87DC2"/>
    <w:rsid w:val="00F9016A"/>
    <w:rsid w:val="00F90561"/>
    <w:rsid w:val="00F9259B"/>
    <w:rsid w:val="00F949AE"/>
    <w:rsid w:val="00F94D3A"/>
    <w:rsid w:val="00F94F16"/>
    <w:rsid w:val="00FA0254"/>
    <w:rsid w:val="00FA06D1"/>
    <w:rsid w:val="00FA226E"/>
    <w:rsid w:val="00FA25AE"/>
    <w:rsid w:val="00FA337A"/>
    <w:rsid w:val="00FA349E"/>
    <w:rsid w:val="00FA3C5E"/>
    <w:rsid w:val="00FA5062"/>
    <w:rsid w:val="00FA6106"/>
    <w:rsid w:val="00FA7AFA"/>
    <w:rsid w:val="00FB0E65"/>
    <w:rsid w:val="00FB1869"/>
    <w:rsid w:val="00FB22D1"/>
    <w:rsid w:val="00FB2647"/>
    <w:rsid w:val="00FB3E05"/>
    <w:rsid w:val="00FB6012"/>
    <w:rsid w:val="00FB6C61"/>
    <w:rsid w:val="00FC0989"/>
    <w:rsid w:val="00FC0B3A"/>
    <w:rsid w:val="00FC12F3"/>
    <w:rsid w:val="00FC1389"/>
    <w:rsid w:val="00FC2A00"/>
    <w:rsid w:val="00FC32C0"/>
    <w:rsid w:val="00FC3C73"/>
    <w:rsid w:val="00FC4C20"/>
    <w:rsid w:val="00FC5A7F"/>
    <w:rsid w:val="00FC5F77"/>
    <w:rsid w:val="00FC5FCF"/>
    <w:rsid w:val="00FC78EA"/>
    <w:rsid w:val="00FD00F1"/>
    <w:rsid w:val="00FD1B0C"/>
    <w:rsid w:val="00FD1B5D"/>
    <w:rsid w:val="00FD2057"/>
    <w:rsid w:val="00FD2ADC"/>
    <w:rsid w:val="00FD345C"/>
    <w:rsid w:val="00FD3BED"/>
    <w:rsid w:val="00FD44D1"/>
    <w:rsid w:val="00FD45CC"/>
    <w:rsid w:val="00FD4775"/>
    <w:rsid w:val="00FD6CC0"/>
    <w:rsid w:val="00FD6D69"/>
    <w:rsid w:val="00FD7583"/>
    <w:rsid w:val="00FD78AE"/>
    <w:rsid w:val="00FE2C72"/>
    <w:rsid w:val="00FE325A"/>
    <w:rsid w:val="00FE3A75"/>
    <w:rsid w:val="00FE526E"/>
    <w:rsid w:val="00FE5912"/>
    <w:rsid w:val="00FE5FF0"/>
    <w:rsid w:val="00FE6A83"/>
    <w:rsid w:val="00FE6CBA"/>
    <w:rsid w:val="00FE7F97"/>
    <w:rsid w:val="00FF05F1"/>
    <w:rsid w:val="00FF0FD5"/>
    <w:rsid w:val="00FF2B8A"/>
    <w:rsid w:val="00FF362E"/>
    <w:rsid w:val="00FF40EA"/>
    <w:rsid w:val="00FF4481"/>
    <w:rsid w:val="00FF488B"/>
    <w:rsid w:val="00FF4919"/>
    <w:rsid w:val="00FF5079"/>
    <w:rsid w:val="00FF58A9"/>
    <w:rsid w:val="00FF5ECD"/>
    <w:rsid w:val="00FF6016"/>
    <w:rsid w:val="00FF6691"/>
    <w:rsid w:val="00FF7959"/>
    <w:rsid w:val="2B5CCE6E"/>
    <w:rsid w:val="42326BCE"/>
    <w:rsid w:val="5608E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CC3F4"/>
  <w15:docId w15:val="{52341FEB-E2B5-4171-AF39-2D6819D8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8A420D"/>
    <w:pPr>
      <w:spacing w:after="0" w:line="280" w:lineRule="atLeast"/>
      <w:jc w:val="both"/>
    </w:pPr>
    <w:rPr>
      <w:rFonts w:ascii="Arial" w:hAnsi="Arial" w:cs="Arial"/>
      <w:iCs/>
      <w:color w:val="FFFFFF" w:themeColor="text1"/>
    </w:rPr>
  </w:style>
  <w:style w:type="paragraph" w:styleId="Heading1">
    <w:name w:val="heading 1"/>
    <w:next w:val="BodyTextGrey"/>
    <w:link w:val="Heading1Char"/>
    <w:qFormat/>
    <w:rsid w:val="006C2E18"/>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773FF9"/>
    <w:pPr>
      <w:keepNext/>
      <w:keepLines/>
      <w:spacing w:before="0" w:after="0" w:line="280" w:lineRule="atLeast"/>
      <w:outlineLvl w:val="1"/>
    </w:pPr>
    <w:rPr>
      <w:rFonts w:ascii="Arial" w:hAnsi="Arial" w:cs="Arial"/>
      <w:b/>
      <w:iCs/>
      <w:color w:val="455560" w:themeColor="accent5"/>
      <w:lang w:eastAsia="en-US"/>
    </w:rPr>
  </w:style>
  <w:style w:type="paragraph" w:styleId="Heading3">
    <w:name w:val="heading 3"/>
    <w:next w:val="BodyTextGrey"/>
    <w:link w:val="Heading3Char"/>
    <w:qFormat/>
    <w:rsid w:val="00773FF9"/>
    <w:pPr>
      <w:keepNext/>
      <w:keepLines/>
      <w:spacing w:after="200" w:line="280" w:lineRule="atLeast"/>
      <w:outlineLvl w:val="2"/>
    </w:pPr>
    <w:rPr>
      <w:rFonts w:ascii="Arial" w:hAnsi="Arial" w:cs="Arial"/>
      <w:b/>
      <w:iCs/>
      <w:color w:val="85898A" w:themeColor="accent6"/>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773FF9"/>
    <w:rPr>
      <w:color w:val="3FA6CC" w:themeColor="accent1"/>
    </w:rPr>
  </w:style>
  <w:style w:type="character" w:customStyle="1" w:styleId="Heading1Char">
    <w:name w:val="Heading 1 Char"/>
    <w:basedOn w:val="DefaultParagraphFont"/>
    <w:link w:val="Heading1"/>
    <w:rsid w:val="0098213E"/>
    <w:rPr>
      <w:rFonts w:ascii="Arial" w:hAnsi="Arial"/>
      <w:color w:val="3FA6CC"/>
      <w:kern w:val="28"/>
      <w:sz w:val="3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773FF9"/>
    <w:rPr>
      <w:rFonts w:ascii="Arial" w:hAnsi="Arial" w:cs="Arial"/>
      <w:b/>
      <w:iCs/>
      <w:color w:val="455560" w:themeColor="accent5"/>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773FF9"/>
    <w:rPr>
      <w:rFonts w:ascii="Arial" w:hAnsi="Arial" w:cs="Arial"/>
      <w:b/>
      <w:iCs/>
      <w:color w:val="85898A" w:themeColor="accent6"/>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4"/>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5"/>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6"/>
      </w:numPr>
      <w:spacing w:before="120" w:after="120"/>
    </w:pPr>
    <w:rPr>
      <w:rFonts w:cs="Times New Roman"/>
      <w:iCs w:val="0"/>
      <w:szCs w:val="24"/>
    </w:rPr>
  </w:style>
  <w:style w:type="paragraph" w:customStyle="1" w:styleId="hBullets">
    <w:name w:val="hBullets"/>
    <w:uiPriority w:val="3"/>
    <w:rsid w:val="0098213E"/>
    <w:pPr>
      <w:numPr>
        <w:numId w:val="7"/>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6C2E18"/>
    <w:pPr>
      <w:numPr>
        <w:numId w:val="59"/>
      </w:numPr>
    </w:pPr>
  </w:style>
  <w:style w:type="paragraph" w:customStyle="1" w:styleId="Heading2Num">
    <w:name w:val="Heading 2 Num"/>
    <w:basedOn w:val="Heading2"/>
    <w:next w:val="BodyTextGrey"/>
    <w:link w:val="Heading2NumChar"/>
    <w:uiPriority w:val="1"/>
    <w:qFormat/>
    <w:rsid w:val="00773FF9"/>
    <w:pPr>
      <w:numPr>
        <w:ilvl w:val="1"/>
        <w:numId w:val="59"/>
      </w:numPr>
      <w:tabs>
        <w:tab w:val="clear" w:pos="567"/>
        <w:tab w:val="num" w:pos="709"/>
      </w:tabs>
      <w:ind w:left="709"/>
    </w:pPr>
  </w:style>
  <w:style w:type="paragraph" w:customStyle="1" w:styleId="Heading3Num">
    <w:name w:val="Heading 3 Num"/>
    <w:basedOn w:val="Heading3"/>
    <w:next w:val="BodyTextGrey"/>
    <w:link w:val="Heading3NumChar"/>
    <w:uiPriority w:val="1"/>
    <w:qFormat/>
    <w:rsid w:val="00773FF9"/>
    <w:pPr>
      <w:numPr>
        <w:ilvl w:val="2"/>
        <w:numId w:val="59"/>
      </w:numPr>
    </w:pPr>
  </w:style>
  <w:style w:type="paragraph" w:customStyle="1" w:styleId="hNumber1">
    <w:name w:val="hNumber1"/>
    <w:uiPriority w:val="3"/>
    <w:rsid w:val="0098213E"/>
    <w:pPr>
      <w:widowControl w:val="0"/>
      <w:numPr>
        <w:numId w:val="8"/>
      </w:numPr>
      <w:spacing w:line="280" w:lineRule="atLeast"/>
    </w:pPr>
    <w:rPr>
      <w:rFonts w:ascii="Arial" w:hAnsi="Arial"/>
      <w:color w:val="4B4B4B"/>
      <w:szCs w:val="24"/>
    </w:rPr>
  </w:style>
  <w:style w:type="numbering" w:customStyle="1" w:styleId="HRNumber">
    <w:name w:val="HR Number"/>
    <w:uiPriority w:val="99"/>
    <w:rsid w:val="0092629D"/>
    <w:pPr>
      <w:numPr>
        <w:numId w:val="2"/>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rsid w:val="006C2E18"/>
    <w:pPr>
      <w:numPr>
        <w:numId w:val="9"/>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FFFFFF"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2A7E9D" w:themeColor="accent1" w:themeShade="BF"/>
    </w:rPr>
    <w:tblPr>
      <w:tblStyleRowBandSize w:val="1"/>
      <w:tblStyleColBandSize w:val="1"/>
      <w:tblBorders>
        <w:top w:val="single" w:sz="8" w:space="0" w:color="3FA6CC" w:themeColor="accent1"/>
        <w:bottom w:val="single" w:sz="8" w:space="0" w:color="3FA6CC" w:themeColor="accent1"/>
      </w:tblBorders>
    </w:tblPr>
    <w:tcPr>
      <w:shd w:val="clear" w:color="auto" w:fill="auto"/>
    </w:tcPr>
    <w:tblStylePr w:type="firstRow">
      <w:pPr>
        <w:spacing w:before="0" w:after="0" w:line="240" w:lineRule="auto"/>
      </w:pPr>
      <w:rPr>
        <w:b/>
        <w:bCs/>
        <w:color w:val="auto"/>
      </w:rPr>
      <w:tblPr/>
      <w:tcPr>
        <w:shd w:val="clear" w:color="auto" w:fill="808080" w:themeFill="text2" w:themeFillShade="80"/>
      </w:tcPr>
    </w:tblStylePr>
    <w:tblStylePr w:type="lastRow">
      <w:pPr>
        <w:spacing w:before="0" w:after="0" w:line="240" w:lineRule="auto"/>
      </w:pPr>
      <w:rPr>
        <w:b/>
        <w:bCs/>
      </w:rPr>
      <w:tblPr/>
      <w:tcPr>
        <w:tcBorders>
          <w:top w:val="single" w:sz="8" w:space="0" w:color="3FA6CC" w:themeColor="accent1"/>
          <w:left w:val="nil"/>
          <w:bottom w:val="single" w:sz="8" w:space="0" w:color="3FA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accent1" w:themeFillTint="3F"/>
      </w:tcPr>
    </w:tblStylePr>
    <w:tblStylePr w:type="band1Horz">
      <w:tblPr/>
      <w:tcPr>
        <w:tcBorders>
          <w:left w:val="nil"/>
          <w:right w:val="nil"/>
          <w:insideH w:val="nil"/>
          <w:insideV w:val="nil"/>
        </w:tcBorders>
        <w:shd w:val="clear" w:color="auto" w:fill="CFE8F2" w:themeFill="accent1" w:themeFillTint="3F"/>
      </w:tcPr>
    </w:tblStylePr>
  </w:style>
  <w:style w:type="table" w:styleId="LightShading-Accent5">
    <w:name w:val="Light Shading Accent 5"/>
    <w:basedOn w:val="TableNormal"/>
    <w:uiPriority w:val="60"/>
    <w:rsid w:val="0098213E"/>
    <w:pPr>
      <w:spacing w:after="0"/>
    </w:pPr>
    <w:rPr>
      <w:color w:val="333F47" w:themeColor="accent5" w:themeShade="BF"/>
    </w:rPr>
    <w:tblPr>
      <w:tblStyleRowBandSize w:val="1"/>
      <w:tblStyleColBandSize w:val="1"/>
      <w:tblBorders>
        <w:top w:val="single" w:sz="8" w:space="0" w:color="455560" w:themeColor="accent5"/>
        <w:bottom w:val="single" w:sz="8" w:space="0" w:color="455560" w:themeColor="accent5"/>
      </w:tblBorders>
    </w:tblPr>
    <w:tblStylePr w:type="firstRow">
      <w:pPr>
        <w:spacing w:before="0" w:after="0" w:line="240" w:lineRule="auto"/>
      </w:pPr>
      <w:rPr>
        <w:b/>
        <w:bCs/>
      </w:rPr>
      <w:tblPr/>
      <w:tcPr>
        <w:tcBorders>
          <w:top w:val="single" w:sz="8" w:space="0" w:color="455560" w:themeColor="accent5"/>
          <w:left w:val="nil"/>
          <w:bottom w:val="single" w:sz="8" w:space="0" w:color="455560" w:themeColor="accent5"/>
          <w:right w:val="nil"/>
          <w:insideH w:val="nil"/>
          <w:insideV w:val="nil"/>
        </w:tcBorders>
      </w:tcPr>
    </w:tblStylePr>
    <w:tblStylePr w:type="lastRow">
      <w:pPr>
        <w:spacing w:before="0" w:after="0" w:line="240" w:lineRule="auto"/>
      </w:pPr>
      <w:rPr>
        <w:b/>
        <w:bCs/>
      </w:rPr>
      <w:tblPr/>
      <w:tcPr>
        <w:tcBorders>
          <w:top w:val="single" w:sz="8" w:space="0" w:color="455560" w:themeColor="accent5"/>
          <w:left w:val="nil"/>
          <w:bottom w:val="single" w:sz="8" w:space="0" w:color="4555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5DB" w:themeFill="accent5" w:themeFillTint="3F"/>
      </w:tcPr>
    </w:tblStylePr>
    <w:tblStylePr w:type="band1Horz">
      <w:tblPr/>
      <w:tcPr>
        <w:tcBorders>
          <w:left w:val="nil"/>
          <w:right w:val="nil"/>
          <w:insideH w:val="nil"/>
          <w:insideV w:val="nil"/>
        </w:tcBorders>
        <w:shd w:val="clear" w:color="auto" w:fill="CDD5DB"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FFFFFF"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FFFFFF"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FFFFFF"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FFFFFF"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44546A" w:themeColor="background1"/>
        <w:left w:val="single" w:sz="8" w:space="0" w:color="44546A" w:themeColor="background1"/>
        <w:bottom w:val="single" w:sz="8" w:space="0" w:color="44546A" w:themeColor="background1"/>
        <w:right w:val="single" w:sz="8" w:space="0" w:color="44546A" w:themeColor="background1"/>
        <w:insideH w:val="single" w:sz="6" w:space="0" w:color="44546A" w:themeColor="background1"/>
        <w:insideV w:val="single" w:sz="6" w:space="0" w:color="44546A" w:themeColor="background1"/>
      </w:tblBorders>
    </w:tblPr>
    <w:tcPr>
      <w:shd w:val="clear" w:color="auto" w:fill="DAEFCF" w:themeFill="accent2" w:themeFillTint="3F"/>
    </w:tcPr>
    <w:tblStylePr w:type="firstRow">
      <w:rPr>
        <w:b/>
        <w:bCs/>
        <w:i w:val="0"/>
        <w:iCs w:val="0"/>
        <w:color w:val="44546A" w:themeColor="background1"/>
      </w:rPr>
      <w:tblPr/>
      <w:tcPr>
        <w:tcBorders>
          <w:top w:val="single" w:sz="8" w:space="0" w:color="44546A" w:themeColor="background1"/>
          <w:left w:val="single" w:sz="8" w:space="0" w:color="44546A" w:themeColor="background1"/>
          <w:bottom w:val="single" w:sz="24" w:space="0" w:color="44546A" w:themeColor="background1"/>
          <w:right w:val="single" w:sz="8" w:space="0" w:color="44546A" w:themeColor="background1"/>
          <w:insideH w:val="nil"/>
          <w:insideV w:val="single" w:sz="8" w:space="0" w:color="44546A" w:themeColor="background1"/>
        </w:tcBorders>
        <w:shd w:val="clear" w:color="auto" w:fill="6EC040" w:themeFill="accent2"/>
      </w:tcPr>
    </w:tblStylePr>
    <w:tblStylePr w:type="lastRow">
      <w:rPr>
        <w:b/>
        <w:bCs/>
        <w:i w:val="0"/>
        <w:iCs w:val="0"/>
        <w:color w:val="44546A" w:themeColor="background1"/>
      </w:rPr>
      <w:tblPr/>
      <w:tcPr>
        <w:tcBorders>
          <w:top w:val="single" w:sz="24" w:space="0" w:color="44546A" w:themeColor="background1"/>
          <w:left w:val="single" w:sz="8" w:space="0" w:color="44546A" w:themeColor="background1"/>
          <w:bottom w:val="single" w:sz="8" w:space="0" w:color="44546A" w:themeColor="background1"/>
          <w:right w:val="single" w:sz="8" w:space="0" w:color="44546A" w:themeColor="background1"/>
          <w:insideH w:val="nil"/>
          <w:insideV w:val="single" w:sz="8" w:space="0" w:color="44546A" w:themeColor="background1"/>
        </w:tcBorders>
        <w:shd w:val="clear" w:color="auto" w:fill="6EC040" w:themeFill="accent2"/>
      </w:tcPr>
    </w:tblStylePr>
    <w:tblStylePr w:type="firstCol">
      <w:rPr>
        <w:b/>
        <w:bCs/>
        <w:i w:val="0"/>
        <w:iCs w:val="0"/>
        <w:color w:val="44546A" w:themeColor="background1"/>
      </w:rPr>
      <w:tblPr/>
      <w:tcPr>
        <w:tcBorders>
          <w:left w:val="single" w:sz="8" w:space="0" w:color="44546A" w:themeColor="background1"/>
          <w:right w:val="single" w:sz="24" w:space="0" w:color="44546A" w:themeColor="background1"/>
          <w:insideH w:val="nil"/>
          <w:insideV w:val="nil"/>
        </w:tcBorders>
        <w:shd w:val="clear" w:color="auto" w:fill="6EC040" w:themeFill="accent2"/>
      </w:tcPr>
    </w:tblStylePr>
    <w:tblStylePr w:type="lastCol">
      <w:rPr>
        <w:b/>
        <w:bCs/>
        <w:i w:val="0"/>
        <w:iCs w:val="0"/>
        <w:color w:val="44546A" w:themeColor="background1"/>
      </w:rPr>
      <w:tblPr/>
      <w:tcPr>
        <w:tcBorders>
          <w:top w:val="nil"/>
          <w:left w:val="single" w:sz="24" w:space="0" w:color="44546A" w:themeColor="background1"/>
          <w:bottom w:val="nil"/>
          <w:right w:val="nil"/>
          <w:insideH w:val="nil"/>
          <w:insideV w:val="nil"/>
        </w:tcBorders>
        <w:shd w:val="clear" w:color="auto" w:fill="6EC040" w:themeFill="accent2"/>
      </w:tcPr>
    </w:tblStylePr>
    <w:tblStylePr w:type="band1Vert">
      <w:tblPr/>
      <w:tcPr>
        <w:tcBorders>
          <w:top w:val="single" w:sz="8" w:space="0" w:color="44546A" w:themeColor="background1"/>
          <w:left w:val="single" w:sz="8" w:space="0" w:color="44546A" w:themeColor="background1"/>
          <w:bottom w:val="single" w:sz="8" w:space="0" w:color="44546A" w:themeColor="background1"/>
          <w:right w:val="single" w:sz="8" w:space="0" w:color="44546A" w:themeColor="background1"/>
          <w:insideH w:val="nil"/>
          <w:insideV w:val="nil"/>
        </w:tcBorders>
        <w:shd w:val="clear" w:color="auto" w:fill="B6DF9F" w:themeFill="accent2" w:themeFillTint="7F"/>
      </w:tcPr>
    </w:tblStylePr>
    <w:tblStylePr w:type="band1Horz">
      <w:tblPr/>
      <w:tcPr>
        <w:tcBorders>
          <w:top w:val="single" w:sz="8" w:space="0" w:color="44546A" w:themeColor="background1"/>
          <w:left w:val="single" w:sz="8" w:space="0" w:color="44546A" w:themeColor="background1"/>
          <w:bottom w:val="single" w:sz="8" w:space="0" w:color="44546A" w:themeColor="background1"/>
          <w:right w:val="single" w:sz="8" w:space="0" w:color="44546A" w:themeColor="background1"/>
          <w:insideH w:val="single" w:sz="8" w:space="0" w:color="44546A" w:themeColor="background1"/>
          <w:insideV w:val="single" w:sz="8" w:space="0" w:color="44546A" w:themeColor="background1"/>
        </w:tcBorders>
        <w:shd w:val="clear" w:color="auto" w:fill="B6DF9F"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FE378F" w:themeColor="accent4" w:themeTint="BF"/>
        <w:left w:val="single" w:sz="8" w:space="0" w:color="FE378F" w:themeColor="accent4" w:themeTint="BF"/>
        <w:bottom w:val="single" w:sz="8" w:space="0" w:color="FE378F" w:themeColor="accent4" w:themeTint="BF"/>
        <w:right w:val="single" w:sz="8" w:space="0" w:color="FE378F" w:themeColor="accent4" w:themeTint="BF"/>
        <w:insideH w:val="single" w:sz="8" w:space="0" w:color="FE378F" w:themeColor="accent4" w:themeTint="BF"/>
      </w:tblBorders>
    </w:tblPr>
    <w:tblStylePr w:type="firstRow">
      <w:pPr>
        <w:spacing w:before="0" w:after="0" w:line="240" w:lineRule="auto"/>
      </w:pPr>
      <w:rPr>
        <w:b/>
        <w:bCs/>
        <w:color w:val="44546A" w:themeColor="background1"/>
      </w:rPr>
      <w:tblPr/>
      <w:tcPr>
        <w:tcBorders>
          <w:top w:val="single" w:sz="8" w:space="0" w:color="FE378F" w:themeColor="accent4" w:themeTint="BF"/>
          <w:left w:val="single" w:sz="8" w:space="0" w:color="FE378F" w:themeColor="accent4" w:themeTint="BF"/>
          <w:bottom w:val="single" w:sz="8" w:space="0" w:color="FE378F" w:themeColor="accent4" w:themeTint="BF"/>
          <w:right w:val="single" w:sz="8" w:space="0" w:color="FE378F" w:themeColor="accent4" w:themeTint="BF"/>
          <w:insideH w:val="nil"/>
          <w:insideV w:val="nil"/>
        </w:tcBorders>
        <w:shd w:val="clear" w:color="auto" w:fill="F2016C" w:themeFill="accent4"/>
      </w:tcPr>
    </w:tblStylePr>
    <w:tblStylePr w:type="lastRow">
      <w:pPr>
        <w:spacing w:before="0" w:after="0" w:line="240" w:lineRule="auto"/>
      </w:pPr>
      <w:rPr>
        <w:b/>
        <w:bCs/>
      </w:rPr>
      <w:tblPr/>
      <w:tcPr>
        <w:tcBorders>
          <w:top w:val="double" w:sz="6" w:space="0" w:color="FE378F" w:themeColor="accent4" w:themeTint="BF"/>
          <w:left w:val="single" w:sz="8" w:space="0" w:color="FE378F" w:themeColor="accent4" w:themeTint="BF"/>
          <w:bottom w:val="single" w:sz="8" w:space="0" w:color="FE378F" w:themeColor="accent4" w:themeTint="BF"/>
          <w:right w:val="single" w:sz="8" w:space="0" w:color="FE37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BDDA" w:themeFill="accent4" w:themeFillTint="3F"/>
      </w:tcPr>
    </w:tblStylePr>
    <w:tblStylePr w:type="band1Horz">
      <w:tblPr/>
      <w:tcPr>
        <w:tcBorders>
          <w:insideH w:val="nil"/>
          <w:insideV w:val="nil"/>
        </w:tcBorders>
        <w:shd w:val="clear" w:color="auto" w:fill="FEBDDA"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A3A6A7" w:themeColor="accent6" w:themeTint="BF"/>
        <w:left w:val="single" w:sz="8" w:space="0" w:color="A3A6A7" w:themeColor="accent6" w:themeTint="BF"/>
        <w:bottom w:val="single" w:sz="8" w:space="0" w:color="A3A6A7" w:themeColor="accent6" w:themeTint="BF"/>
        <w:right w:val="single" w:sz="8" w:space="0" w:color="A3A6A7" w:themeColor="accent6" w:themeTint="BF"/>
        <w:insideH w:val="single" w:sz="8" w:space="0" w:color="A3A6A7" w:themeColor="accent6" w:themeTint="BF"/>
      </w:tblBorders>
    </w:tblPr>
    <w:tblStylePr w:type="firstRow">
      <w:pPr>
        <w:spacing w:before="0" w:after="0" w:line="240" w:lineRule="auto"/>
      </w:pPr>
      <w:rPr>
        <w:rFonts w:ascii="Arial" w:hAnsi="Arial"/>
        <w:b/>
        <w:bCs/>
        <w:i w:val="0"/>
        <w:color w:val="44546A" w:themeColor="background1"/>
      </w:rPr>
      <w:tblPr/>
      <w:tcPr>
        <w:tcBorders>
          <w:top w:val="single" w:sz="8" w:space="0" w:color="A3A6A7" w:themeColor="accent6" w:themeTint="BF"/>
          <w:left w:val="single" w:sz="8" w:space="0" w:color="A3A6A7" w:themeColor="accent6" w:themeTint="BF"/>
          <w:bottom w:val="single" w:sz="8" w:space="0" w:color="A3A6A7" w:themeColor="accent6" w:themeTint="BF"/>
          <w:right w:val="single" w:sz="8" w:space="0" w:color="A3A6A7" w:themeColor="accent6" w:themeTint="BF"/>
          <w:insideH w:val="nil"/>
          <w:insideV w:val="nil"/>
        </w:tcBorders>
        <w:shd w:val="clear" w:color="auto" w:fill="85898A" w:themeFill="accent6"/>
      </w:tcPr>
    </w:tblStylePr>
    <w:tblStylePr w:type="lastRow">
      <w:pPr>
        <w:spacing w:before="0" w:after="0" w:line="240" w:lineRule="auto"/>
      </w:pPr>
      <w:rPr>
        <w:b/>
        <w:bCs/>
      </w:rPr>
      <w:tblPr/>
      <w:tcPr>
        <w:tcBorders>
          <w:top w:val="double" w:sz="6" w:space="0" w:color="A3A6A7" w:themeColor="accent6" w:themeTint="BF"/>
          <w:left w:val="single" w:sz="8" w:space="0" w:color="A3A6A7" w:themeColor="accent6" w:themeTint="BF"/>
          <w:bottom w:val="single" w:sz="8" w:space="0" w:color="A3A6A7" w:themeColor="accent6" w:themeTint="BF"/>
          <w:right w:val="single" w:sz="8" w:space="0" w:color="A3A6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E1E2" w:themeFill="accent6" w:themeFillTint="3F"/>
      </w:tcPr>
    </w:tblStylePr>
    <w:tblStylePr w:type="band1Horz">
      <w:tblPr/>
      <w:tcPr>
        <w:tcBorders>
          <w:insideH w:val="nil"/>
          <w:insideV w:val="nil"/>
        </w:tcBorders>
        <w:shd w:val="clear" w:color="auto" w:fill="E0E1E2"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698192" w:themeColor="accent5" w:themeTint="BF"/>
        <w:left w:val="single" w:sz="8" w:space="0" w:color="698192" w:themeColor="accent5" w:themeTint="BF"/>
        <w:bottom w:val="single" w:sz="8" w:space="0" w:color="698192" w:themeColor="accent5" w:themeTint="BF"/>
        <w:right w:val="single" w:sz="8" w:space="0" w:color="698192" w:themeColor="accent5" w:themeTint="BF"/>
        <w:insideH w:val="single" w:sz="8" w:space="0" w:color="698192" w:themeColor="accent5" w:themeTint="BF"/>
      </w:tblBorders>
    </w:tblPr>
    <w:tblStylePr w:type="firstRow">
      <w:pPr>
        <w:spacing w:before="0" w:after="0" w:line="240" w:lineRule="auto"/>
      </w:pPr>
      <w:rPr>
        <w:b/>
        <w:bCs/>
        <w:color w:val="44546A" w:themeColor="background1"/>
      </w:rPr>
      <w:tblPr/>
      <w:tcPr>
        <w:tcBorders>
          <w:top w:val="single" w:sz="8" w:space="0" w:color="698192" w:themeColor="accent5" w:themeTint="BF"/>
          <w:left w:val="single" w:sz="8" w:space="0" w:color="698192" w:themeColor="accent5" w:themeTint="BF"/>
          <w:bottom w:val="single" w:sz="8" w:space="0" w:color="698192" w:themeColor="accent5" w:themeTint="BF"/>
          <w:right w:val="single" w:sz="8" w:space="0" w:color="698192" w:themeColor="accent5" w:themeTint="BF"/>
          <w:insideH w:val="nil"/>
          <w:insideV w:val="nil"/>
        </w:tcBorders>
        <w:shd w:val="clear" w:color="auto" w:fill="455560" w:themeFill="accent5"/>
      </w:tcPr>
    </w:tblStylePr>
    <w:tblStylePr w:type="lastRow">
      <w:pPr>
        <w:spacing w:before="0" w:after="0" w:line="240" w:lineRule="auto"/>
      </w:pPr>
      <w:rPr>
        <w:b/>
        <w:bCs/>
      </w:rPr>
      <w:tblPr/>
      <w:tcPr>
        <w:tcBorders>
          <w:top w:val="double" w:sz="6" w:space="0" w:color="698192" w:themeColor="accent5" w:themeTint="BF"/>
          <w:left w:val="single" w:sz="8" w:space="0" w:color="698192" w:themeColor="accent5" w:themeTint="BF"/>
          <w:bottom w:val="single" w:sz="8" w:space="0" w:color="698192" w:themeColor="accent5" w:themeTint="BF"/>
          <w:right w:val="single" w:sz="8" w:space="0" w:color="69819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D5DB" w:themeFill="accent5" w:themeFillTint="3F"/>
      </w:tcPr>
    </w:tblStylePr>
    <w:tblStylePr w:type="band1Horz">
      <w:tblPr/>
      <w:tcPr>
        <w:tcBorders>
          <w:insideH w:val="nil"/>
          <w:insideV w:val="nil"/>
        </w:tcBorders>
        <w:shd w:val="clear" w:color="auto" w:fill="CDD5DB"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4546A" w:themeColor="background1"/>
      </w:rPr>
      <w:tblPr/>
      <w:tcPr>
        <w:tcBorders>
          <w:top w:val="single" w:sz="18" w:space="0" w:color="auto"/>
          <w:left w:val="nil"/>
          <w:bottom w:val="single" w:sz="18" w:space="0" w:color="auto"/>
          <w:right w:val="nil"/>
          <w:insideH w:val="nil"/>
          <w:insideV w:val="nil"/>
        </w:tcBorders>
        <w:shd w:val="clear" w:color="auto" w:fill="8589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4546A" w:themeFill="background1"/>
      </w:tcPr>
    </w:tblStylePr>
    <w:tblStylePr w:type="firstCol">
      <w:rPr>
        <w:b/>
        <w:bCs/>
        <w:color w:val="44546A" w:themeColor="background1"/>
      </w:rPr>
      <w:tblPr/>
      <w:tcPr>
        <w:tcBorders>
          <w:top w:val="nil"/>
          <w:left w:val="nil"/>
          <w:bottom w:val="single" w:sz="18" w:space="0" w:color="auto"/>
          <w:right w:val="nil"/>
          <w:insideH w:val="nil"/>
          <w:insideV w:val="nil"/>
        </w:tcBorders>
        <w:shd w:val="clear" w:color="auto" w:fill="85898A" w:themeFill="accent6"/>
      </w:tcPr>
    </w:tblStylePr>
    <w:tblStylePr w:type="lastCol">
      <w:rPr>
        <w:b/>
        <w:bCs/>
        <w:color w:val="44546A" w:themeColor="background1"/>
      </w:rPr>
      <w:tblPr/>
      <w:tcPr>
        <w:tcBorders>
          <w:left w:val="nil"/>
          <w:right w:val="nil"/>
          <w:insideH w:val="nil"/>
          <w:insideV w:val="nil"/>
        </w:tcBorders>
        <w:shd w:val="clear" w:color="auto" w:fill="85898A" w:themeFill="accent6"/>
      </w:tcPr>
    </w:tblStylePr>
    <w:tblStylePr w:type="band1Vert">
      <w:tblPr/>
      <w:tcPr>
        <w:tcBorders>
          <w:left w:val="nil"/>
          <w:right w:val="nil"/>
          <w:insideH w:val="nil"/>
          <w:insideV w:val="nil"/>
        </w:tcBorders>
        <w:shd w:val="clear" w:color="auto" w:fill="394759" w:themeFill="background1" w:themeFillShade="D8"/>
      </w:tcPr>
    </w:tblStylePr>
    <w:tblStylePr w:type="band1Horz">
      <w:tblPr/>
      <w:tcPr>
        <w:shd w:val="clear" w:color="auto" w:fill="394759"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4546A"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44546A" w:themeColor="background1"/>
    </w:rPr>
    <w:tblPr>
      <w:tblStyleRowBandSize w:val="1"/>
      <w:tblStyleColBandSize w:val="1"/>
    </w:tblPr>
    <w:tcPr>
      <w:shd w:val="clear" w:color="auto" w:fill="FDC82F" w:themeFill="accent3"/>
    </w:tcPr>
    <w:tblStylePr w:type="firstRow">
      <w:rPr>
        <w:b/>
        <w:bCs/>
      </w:rPr>
      <w:tblPr/>
      <w:tcPr>
        <w:tcBorders>
          <w:top w:val="nil"/>
          <w:left w:val="nil"/>
          <w:bottom w:val="single" w:sz="18" w:space="0" w:color="44546A" w:themeColor="background1"/>
          <w:right w:val="nil"/>
          <w:insideH w:val="nil"/>
          <w:insideV w:val="nil"/>
        </w:tcBorders>
        <w:shd w:val="clear" w:color="auto" w:fill="FFFFFF" w:themeFill="text1"/>
      </w:tcPr>
    </w:tblStylePr>
    <w:tblStylePr w:type="lastRow">
      <w:tblPr/>
      <w:tcPr>
        <w:tcBorders>
          <w:top w:val="single" w:sz="18" w:space="0" w:color="44546A" w:themeColor="background1"/>
          <w:left w:val="nil"/>
          <w:bottom w:val="nil"/>
          <w:right w:val="nil"/>
          <w:insideH w:val="nil"/>
          <w:insideV w:val="nil"/>
        </w:tcBorders>
        <w:shd w:val="clear" w:color="auto" w:fill="936D01" w:themeFill="accent3" w:themeFillShade="7F"/>
      </w:tcPr>
    </w:tblStylePr>
    <w:tblStylePr w:type="firstCol">
      <w:tblPr/>
      <w:tcPr>
        <w:tcBorders>
          <w:top w:val="nil"/>
          <w:left w:val="nil"/>
          <w:bottom w:val="nil"/>
          <w:right w:val="single" w:sz="18" w:space="0" w:color="44546A" w:themeColor="background1"/>
          <w:insideH w:val="nil"/>
          <w:insideV w:val="nil"/>
        </w:tcBorders>
        <w:shd w:val="clear" w:color="auto" w:fill="DEA502" w:themeFill="accent3" w:themeFillShade="BF"/>
      </w:tcPr>
    </w:tblStylePr>
    <w:tblStylePr w:type="lastCol">
      <w:tblPr/>
      <w:tcPr>
        <w:tcBorders>
          <w:top w:val="nil"/>
          <w:left w:val="single" w:sz="18" w:space="0" w:color="44546A" w:themeColor="background1"/>
          <w:bottom w:val="nil"/>
          <w:right w:val="nil"/>
          <w:insideH w:val="nil"/>
          <w:insideV w:val="nil"/>
        </w:tcBorders>
        <w:shd w:val="clear" w:color="auto" w:fill="DEA502" w:themeFill="accent3" w:themeFillShade="BF"/>
      </w:tcPr>
    </w:tblStylePr>
    <w:tblStylePr w:type="band1Vert">
      <w:tblPr/>
      <w:tcPr>
        <w:tcBorders>
          <w:top w:val="nil"/>
          <w:left w:val="nil"/>
          <w:bottom w:val="nil"/>
          <w:right w:val="nil"/>
          <w:insideH w:val="nil"/>
          <w:insideV w:val="nil"/>
        </w:tcBorders>
        <w:shd w:val="clear" w:color="auto" w:fill="DEA502" w:themeFill="accent3" w:themeFillShade="BF"/>
      </w:tcPr>
    </w:tblStylePr>
    <w:tblStylePr w:type="band1Horz">
      <w:tblPr/>
      <w:tcPr>
        <w:tcBorders>
          <w:top w:val="nil"/>
          <w:left w:val="nil"/>
          <w:bottom w:val="nil"/>
          <w:right w:val="nil"/>
          <w:insideH w:val="nil"/>
          <w:insideV w:val="nil"/>
        </w:tcBorders>
        <w:shd w:val="clear" w:color="auto" w:fill="DEA502"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3FA6CC" w:themeColor="accent1"/>
        <w:left w:val="single" w:sz="8" w:space="0" w:color="3FA6CC" w:themeColor="accent1"/>
        <w:bottom w:val="single" w:sz="8" w:space="0" w:color="3FA6CC" w:themeColor="accent1"/>
        <w:right w:val="single" w:sz="8" w:space="0" w:color="3FA6CC" w:themeColor="accent1"/>
      </w:tblBorders>
    </w:tblPr>
    <w:tblStylePr w:type="firstRow">
      <w:pPr>
        <w:spacing w:before="0" w:after="0" w:line="240" w:lineRule="auto"/>
      </w:pPr>
      <w:rPr>
        <w:b/>
        <w:bCs/>
        <w:color w:val="44546A" w:themeColor="background1"/>
      </w:rPr>
      <w:tblPr/>
      <w:tcPr>
        <w:shd w:val="clear" w:color="auto" w:fill="3FA6CC" w:themeFill="accent1"/>
      </w:tcPr>
    </w:tblStylePr>
    <w:tblStylePr w:type="lastRow">
      <w:pPr>
        <w:spacing w:before="0" w:after="0" w:line="240" w:lineRule="auto"/>
      </w:pPr>
      <w:rPr>
        <w:b/>
        <w:bCs/>
      </w:rPr>
      <w:tblPr/>
      <w:tcPr>
        <w:tcBorders>
          <w:top w:val="double" w:sz="6" w:space="0" w:color="3FA6CC" w:themeColor="accent1"/>
          <w:left w:val="single" w:sz="8" w:space="0" w:color="3FA6CC" w:themeColor="accent1"/>
          <w:bottom w:val="single" w:sz="8" w:space="0" w:color="3FA6CC" w:themeColor="accent1"/>
          <w:right w:val="single" w:sz="8" w:space="0" w:color="3FA6CC" w:themeColor="accent1"/>
        </w:tcBorders>
      </w:tcPr>
    </w:tblStylePr>
    <w:tblStylePr w:type="firstCol">
      <w:rPr>
        <w:b/>
        <w:bCs/>
      </w:rPr>
    </w:tblStylePr>
    <w:tblStylePr w:type="lastCol">
      <w:rPr>
        <w:b/>
        <w:bCs/>
      </w:rPr>
    </w:tblStylePr>
    <w:tblStylePr w:type="band1Vert">
      <w:tblPr/>
      <w:tcPr>
        <w:tcBorders>
          <w:top w:val="single" w:sz="8" w:space="0" w:color="3FA6CC" w:themeColor="accent1"/>
          <w:left w:val="single" w:sz="8" w:space="0" w:color="3FA6CC" w:themeColor="accent1"/>
          <w:bottom w:val="single" w:sz="8" w:space="0" w:color="3FA6CC" w:themeColor="accent1"/>
          <w:right w:val="single" w:sz="8" w:space="0" w:color="3FA6CC" w:themeColor="accent1"/>
        </w:tcBorders>
      </w:tcPr>
    </w:tblStylePr>
    <w:tblStylePr w:type="band1Horz">
      <w:tblPr/>
      <w:tcPr>
        <w:tcBorders>
          <w:top w:val="single" w:sz="8" w:space="0" w:color="3FA6CC" w:themeColor="accent1"/>
          <w:left w:val="single" w:sz="8" w:space="0" w:color="3FA6CC" w:themeColor="accent1"/>
          <w:bottom w:val="single" w:sz="8" w:space="0" w:color="3FA6CC" w:themeColor="accent1"/>
          <w:right w:val="single" w:sz="8" w:space="0" w:color="3FA6CC"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val="0"/>
        <w:bCs/>
        <w:color w:val="44546A" w:themeColor="background1"/>
      </w:rPr>
      <w:tblPr/>
      <w:tcPr>
        <w:shd w:val="clear" w:color="auto" w:fill="FFFFFF" w:themeFill="text2" w:themeFillTint="33"/>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val="0"/>
        <w:bCs/>
        <w:i w:val="0"/>
      </w:rPr>
    </w:tblStylePr>
    <w:tblStylePr w:type="lastCol">
      <w:rPr>
        <w:b w:val="0"/>
        <w:bCs/>
        <w:i w:val="0"/>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rPr>
        <w:color w:val="FFFFFF" w:themeColor="text1"/>
      </w:rPr>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2Horz">
      <w:rPr>
        <w:color w:val="FFFFFF" w:themeColor="text1"/>
      </w:rPr>
    </w:tblStylePr>
  </w:style>
  <w:style w:type="table" w:customStyle="1" w:styleId="LightShading1">
    <w:name w:val="Light Shading1"/>
    <w:basedOn w:val="TableNormal"/>
    <w:uiPriority w:val="60"/>
    <w:rsid w:val="0098213E"/>
    <w:pPr>
      <w:spacing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table" w:customStyle="1" w:styleId="LightShading-Accent12">
    <w:name w:val="Light Shading - Accent 12"/>
    <w:basedOn w:val="TableNormal"/>
    <w:uiPriority w:val="60"/>
    <w:rsid w:val="0098213E"/>
    <w:pPr>
      <w:spacing w:after="0"/>
    </w:pPr>
    <w:rPr>
      <w:color w:val="2A7E9D" w:themeColor="accent1" w:themeShade="BF"/>
    </w:rPr>
    <w:tblPr>
      <w:tblStyleRowBandSize w:val="1"/>
      <w:tblStyleColBandSize w:val="1"/>
      <w:tblBorders>
        <w:top w:val="single" w:sz="8" w:space="0" w:color="3FA6CC" w:themeColor="accent1"/>
        <w:bottom w:val="single" w:sz="8" w:space="0" w:color="3FA6CC" w:themeColor="accent1"/>
      </w:tblBorders>
    </w:tblPr>
    <w:tblStylePr w:type="firstRow">
      <w:pPr>
        <w:spacing w:before="0" w:after="0" w:line="240" w:lineRule="auto"/>
      </w:pPr>
      <w:rPr>
        <w:b/>
        <w:bCs/>
      </w:rPr>
      <w:tblPr/>
      <w:tcPr>
        <w:tcBorders>
          <w:top w:val="single" w:sz="8" w:space="0" w:color="3FA6CC" w:themeColor="accent1"/>
          <w:left w:val="nil"/>
          <w:bottom w:val="single" w:sz="8" w:space="0" w:color="3FA6CC" w:themeColor="accent1"/>
          <w:right w:val="nil"/>
          <w:insideH w:val="nil"/>
          <w:insideV w:val="nil"/>
        </w:tcBorders>
      </w:tcPr>
    </w:tblStylePr>
    <w:tblStylePr w:type="lastRow">
      <w:pPr>
        <w:spacing w:before="0" w:after="0" w:line="240" w:lineRule="auto"/>
      </w:pPr>
      <w:rPr>
        <w:b/>
        <w:bCs/>
      </w:rPr>
      <w:tblPr/>
      <w:tcPr>
        <w:tcBorders>
          <w:top w:val="single" w:sz="8" w:space="0" w:color="3FA6CC" w:themeColor="accent1"/>
          <w:left w:val="nil"/>
          <w:bottom w:val="single" w:sz="8" w:space="0" w:color="3FA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accent1" w:themeFillTint="3F"/>
      </w:tcPr>
    </w:tblStylePr>
    <w:tblStylePr w:type="band1Horz">
      <w:tblPr/>
      <w:tcPr>
        <w:tcBorders>
          <w:left w:val="nil"/>
          <w:right w:val="nil"/>
          <w:insideH w:val="nil"/>
          <w:insideV w:val="nil"/>
        </w:tcBorders>
        <w:shd w:val="clear" w:color="auto" w:fill="CFE8F2" w:themeFill="accent1" w:themeFillTint="3F"/>
      </w:tcPr>
    </w:tblStylePr>
  </w:style>
  <w:style w:type="table" w:styleId="LightShading-Accent2">
    <w:name w:val="Light Shading Accent 2"/>
    <w:basedOn w:val="TableNormal"/>
    <w:uiPriority w:val="60"/>
    <w:rsid w:val="0098213E"/>
    <w:pPr>
      <w:spacing w:after="0"/>
    </w:pPr>
    <w:rPr>
      <w:color w:val="52902F" w:themeColor="accent2" w:themeShade="BF"/>
    </w:rPr>
    <w:tblPr>
      <w:tblStyleRowBandSize w:val="1"/>
      <w:tblStyleColBandSize w:val="1"/>
      <w:tblBorders>
        <w:top w:val="single" w:sz="8" w:space="0" w:color="6EC040" w:themeColor="accent2"/>
        <w:bottom w:val="single" w:sz="8" w:space="0" w:color="6EC040" w:themeColor="accent2"/>
      </w:tblBorders>
    </w:tblPr>
    <w:tblStylePr w:type="firstRow">
      <w:pPr>
        <w:spacing w:before="0" w:after="0" w:line="240" w:lineRule="auto"/>
      </w:pPr>
      <w:rPr>
        <w:b/>
        <w:bCs/>
      </w:rPr>
      <w:tblPr/>
      <w:tcPr>
        <w:tcBorders>
          <w:top w:val="single" w:sz="8" w:space="0" w:color="6EC040" w:themeColor="accent2"/>
          <w:left w:val="nil"/>
          <w:bottom w:val="single" w:sz="8" w:space="0" w:color="6EC040" w:themeColor="accent2"/>
          <w:right w:val="nil"/>
          <w:insideH w:val="nil"/>
          <w:insideV w:val="nil"/>
        </w:tcBorders>
      </w:tcPr>
    </w:tblStylePr>
    <w:tblStylePr w:type="lastRow">
      <w:pPr>
        <w:spacing w:before="0" w:after="0" w:line="240" w:lineRule="auto"/>
      </w:pPr>
      <w:rPr>
        <w:b/>
        <w:bCs/>
      </w:rPr>
      <w:tblPr/>
      <w:tcPr>
        <w:tcBorders>
          <w:top w:val="single" w:sz="8" w:space="0" w:color="6EC040" w:themeColor="accent2"/>
          <w:left w:val="nil"/>
          <w:bottom w:val="single" w:sz="8" w:space="0" w:color="6EC0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CF" w:themeFill="accent2" w:themeFillTint="3F"/>
      </w:tcPr>
    </w:tblStylePr>
    <w:tblStylePr w:type="band1Horz">
      <w:tblPr/>
      <w:tcPr>
        <w:tcBorders>
          <w:left w:val="nil"/>
          <w:right w:val="nil"/>
          <w:insideH w:val="nil"/>
          <w:insideV w:val="nil"/>
        </w:tcBorders>
        <w:shd w:val="clear" w:color="auto" w:fill="DAEFCF" w:themeFill="accent2" w:themeFillTint="3F"/>
      </w:tcPr>
    </w:tblStylePr>
  </w:style>
  <w:style w:type="table" w:styleId="LightShading-Accent3">
    <w:name w:val="Light Shading Accent 3"/>
    <w:basedOn w:val="TableNormal"/>
    <w:uiPriority w:val="60"/>
    <w:rsid w:val="0098213E"/>
    <w:pPr>
      <w:spacing w:after="0"/>
    </w:pPr>
    <w:rPr>
      <w:color w:val="DEA502" w:themeColor="accent3" w:themeShade="BF"/>
    </w:rPr>
    <w:tblPr>
      <w:tblStyleRowBandSize w:val="1"/>
      <w:tblStyleColBandSize w:val="1"/>
      <w:tblBorders>
        <w:top w:val="single" w:sz="8" w:space="0" w:color="FDC82F" w:themeColor="accent3"/>
        <w:bottom w:val="single" w:sz="8" w:space="0" w:color="FDC82F" w:themeColor="accent3"/>
      </w:tblBorders>
    </w:tblPr>
    <w:tblStylePr w:type="firstRow">
      <w:pPr>
        <w:spacing w:before="0" w:after="0" w:line="240" w:lineRule="auto"/>
      </w:pPr>
      <w:rPr>
        <w:b/>
        <w:bCs/>
      </w:rPr>
      <w:tblPr/>
      <w:tcPr>
        <w:tcBorders>
          <w:top w:val="single" w:sz="8" w:space="0" w:color="FDC82F" w:themeColor="accent3"/>
          <w:left w:val="nil"/>
          <w:bottom w:val="single" w:sz="8" w:space="0" w:color="FDC82F" w:themeColor="accent3"/>
          <w:right w:val="nil"/>
          <w:insideH w:val="nil"/>
          <w:insideV w:val="nil"/>
        </w:tcBorders>
      </w:tcPr>
    </w:tblStylePr>
    <w:tblStylePr w:type="lastRow">
      <w:pPr>
        <w:spacing w:before="0" w:after="0" w:line="240" w:lineRule="auto"/>
      </w:pPr>
      <w:rPr>
        <w:b/>
        <w:bCs/>
      </w:rPr>
      <w:tblPr/>
      <w:tcPr>
        <w:tcBorders>
          <w:top w:val="single" w:sz="8" w:space="0" w:color="FDC82F" w:themeColor="accent3"/>
          <w:left w:val="nil"/>
          <w:bottom w:val="single" w:sz="8" w:space="0" w:color="FDC82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B" w:themeFill="accent3" w:themeFillTint="3F"/>
      </w:tcPr>
    </w:tblStylePr>
    <w:tblStylePr w:type="band1Horz">
      <w:tblPr/>
      <w:tcPr>
        <w:tcBorders>
          <w:left w:val="nil"/>
          <w:right w:val="nil"/>
          <w:insideH w:val="nil"/>
          <w:insideV w:val="nil"/>
        </w:tcBorders>
        <w:shd w:val="clear" w:color="auto" w:fill="FEF1CB"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6EC040" w:themeColor="accent2"/>
        <w:left w:val="single" w:sz="8" w:space="0" w:color="6EC040" w:themeColor="accent2"/>
        <w:bottom w:val="single" w:sz="8" w:space="0" w:color="6EC040" w:themeColor="accent2"/>
        <w:right w:val="single" w:sz="8" w:space="0" w:color="6EC040" w:themeColor="accent2"/>
      </w:tblBorders>
    </w:tblPr>
    <w:tblStylePr w:type="firstRow">
      <w:pPr>
        <w:spacing w:before="0" w:after="0" w:line="240" w:lineRule="auto"/>
      </w:pPr>
      <w:rPr>
        <w:b/>
        <w:bCs/>
        <w:color w:val="44546A" w:themeColor="background1"/>
      </w:rPr>
      <w:tblPr/>
      <w:tcPr>
        <w:shd w:val="clear" w:color="auto" w:fill="6EC040" w:themeFill="accent2"/>
      </w:tcPr>
    </w:tblStylePr>
    <w:tblStylePr w:type="lastRow">
      <w:pPr>
        <w:spacing w:before="0" w:after="0" w:line="240" w:lineRule="auto"/>
      </w:pPr>
      <w:rPr>
        <w:b/>
        <w:bCs/>
      </w:rPr>
      <w:tblPr/>
      <w:tcPr>
        <w:tcBorders>
          <w:top w:val="double" w:sz="6" w:space="0" w:color="6EC040" w:themeColor="accent2"/>
          <w:left w:val="single" w:sz="8" w:space="0" w:color="6EC040" w:themeColor="accent2"/>
          <w:bottom w:val="single" w:sz="8" w:space="0" w:color="6EC040" w:themeColor="accent2"/>
          <w:right w:val="single" w:sz="8" w:space="0" w:color="6EC040" w:themeColor="accent2"/>
        </w:tcBorders>
      </w:tcPr>
    </w:tblStylePr>
    <w:tblStylePr w:type="firstCol">
      <w:rPr>
        <w:b/>
        <w:bCs/>
      </w:rPr>
    </w:tblStylePr>
    <w:tblStylePr w:type="lastCol">
      <w:rPr>
        <w:b/>
        <w:bCs/>
      </w:rPr>
    </w:tblStylePr>
    <w:tblStylePr w:type="band1Vert">
      <w:tblPr/>
      <w:tcPr>
        <w:tcBorders>
          <w:top w:val="single" w:sz="8" w:space="0" w:color="6EC040" w:themeColor="accent2"/>
          <w:left w:val="single" w:sz="8" w:space="0" w:color="6EC040" w:themeColor="accent2"/>
          <w:bottom w:val="single" w:sz="8" w:space="0" w:color="6EC040" w:themeColor="accent2"/>
          <w:right w:val="single" w:sz="8" w:space="0" w:color="6EC040" w:themeColor="accent2"/>
        </w:tcBorders>
      </w:tcPr>
    </w:tblStylePr>
    <w:tblStylePr w:type="band1Horz">
      <w:tblPr/>
      <w:tcPr>
        <w:tcBorders>
          <w:top w:val="single" w:sz="8" w:space="0" w:color="6EC040" w:themeColor="accent2"/>
          <w:left w:val="single" w:sz="8" w:space="0" w:color="6EC040" w:themeColor="accent2"/>
          <w:bottom w:val="single" w:sz="8" w:space="0" w:color="6EC040" w:themeColor="accent2"/>
          <w:right w:val="single" w:sz="8" w:space="0" w:color="6EC040"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DC82F" w:themeColor="accent3"/>
        <w:left w:val="single" w:sz="8" w:space="0" w:color="FDC82F" w:themeColor="accent3"/>
        <w:bottom w:val="single" w:sz="8" w:space="0" w:color="FDC82F" w:themeColor="accent3"/>
        <w:right w:val="single" w:sz="8" w:space="0" w:color="FDC82F" w:themeColor="accent3"/>
      </w:tblBorders>
    </w:tblPr>
    <w:tblStylePr w:type="firstRow">
      <w:pPr>
        <w:spacing w:before="0" w:after="0" w:line="240" w:lineRule="auto"/>
      </w:pPr>
      <w:rPr>
        <w:b/>
        <w:bCs/>
        <w:color w:val="44546A" w:themeColor="background1"/>
      </w:rPr>
      <w:tblPr/>
      <w:tcPr>
        <w:shd w:val="clear" w:color="auto" w:fill="FDC82F" w:themeFill="accent3"/>
      </w:tcPr>
    </w:tblStylePr>
    <w:tblStylePr w:type="lastRow">
      <w:pPr>
        <w:spacing w:before="0" w:after="0" w:line="240" w:lineRule="auto"/>
      </w:pPr>
      <w:rPr>
        <w:b/>
        <w:bCs/>
      </w:rPr>
      <w:tblPr/>
      <w:tcPr>
        <w:tcBorders>
          <w:top w:val="double" w:sz="6" w:space="0" w:color="FDC82F" w:themeColor="accent3"/>
          <w:left w:val="single" w:sz="8" w:space="0" w:color="FDC82F" w:themeColor="accent3"/>
          <w:bottom w:val="single" w:sz="8" w:space="0" w:color="FDC82F" w:themeColor="accent3"/>
          <w:right w:val="single" w:sz="8" w:space="0" w:color="FDC82F" w:themeColor="accent3"/>
        </w:tcBorders>
      </w:tcPr>
    </w:tblStylePr>
    <w:tblStylePr w:type="firstCol">
      <w:rPr>
        <w:b/>
        <w:bCs/>
      </w:rPr>
    </w:tblStylePr>
    <w:tblStylePr w:type="lastCol">
      <w:rPr>
        <w:b/>
        <w:bCs/>
      </w:rPr>
    </w:tblStylePr>
    <w:tblStylePr w:type="band1Vert">
      <w:tblPr/>
      <w:tcPr>
        <w:tcBorders>
          <w:top w:val="single" w:sz="8" w:space="0" w:color="FDC82F" w:themeColor="accent3"/>
          <w:left w:val="single" w:sz="8" w:space="0" w:color="FDC82F" w:themeColor="accent3"/>
          <w:bottom w:val="single" w:sz="8" w:space="0" w:color="FDC82F" w:themeColor="accent3"/>
          <w:right w:val="single" w:sz="8" w:space="0" w:color="FDC82F" w:themeColor="accent3"/>
        </w:tcBorders>
      </w:tcPr>
    </w:tblStylePr>
    <w:tblStylePr w:type="band1Horz">
      <w:tblPr/>
      <w:tcPr>
        <w:tcBorders>
          <w:top w:val="single" w:sz="8" w:space="0" w:color="FDC82F" w:themeColor="accent3"/>
          <w:left w:val="single" w:sz="8" w:space="0" w:color="FDC82F" w:themeColor="accent3"/>
          <w:bottom w:val="single" w:sz="8" w:space="0" w:color="FDC82F" w:themeColor="accent3"/>
          <w:right w:val="single" w:sz="8" w:space="0" w:color="FDC82F"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6EBCD8" w:themeColor="accent1" w:themeTint="BF"/>
        <w:left w:val="single" w:sz="8" w:space="0" w:color="6EBCD8" w:themeColor="accent1" w:themeTint="BF"/>
        <w:bottom w:val="single" w:sz="8" w:space="0" w:color="6EBCD8" w:themeColor="accent1" w:themeTint="BF"/>
        <w:right w:val="single" w:sz="8" w:space="0" w:color="6EBCD8" w:themeColor="accent1" w:themeTint="BF"/>
        <w:insideH w:val="single" w:sz="8" w:space="0" w:color="6EBCD8" w:themeColor="accent1" w:themeTint="BF"/>
      </w:tblBorders>
    </w:tblPr>
    <w:tblStylePr w:type="firstRow">
      <w:pPr>
        <w:spacing w:before="0" w:after="0" w:line="240" w:lineRule="auto"/>
      </w:pPr>
      <w:rPr>
        <w:b/>
        <w:bCs/>
        <w:color w:val="44546A" w:themeColor="background1"/>
      </w:rPr>
      <w:tblPr/>
      <w:tcPr>
        <w:tcBorders>
          <w:top w:val="single" w:sz="8" w:space="0" w:color="6EBCD8" w:themeColor="accent1" w:themeTint="BF"/>
          <w:left w:val="single" w:sz="8" w:space="0" w:color="6EBCD8" w:themeColor="accent1" w:themeTint="BF"/>
          <w:bottom w:val="single" w:sz="8" w:space="0" w:color="6EBCD8" w:themeColor="accent1" w:themeTint="BF"/>
          <w:right w:val="single" w:sz="8" w:space="0" w:color="6EBCD8" w:themeColor="accent1" w:themeTint="BF"/>
          <w:insideH w:val="nil"/>
          <w:insideV w:val="nil"/>
        </w:tcBorders>
        <w:shd w:val="clear" w:color="auto" w:fill="3FA6CC" w:themeFill="accent1"/>
      </w:tcPr>
    </w:tblStylePr>
    <w:tblStylePr w:type="lastRow">
      <w:pPr>
        <w:spacing w:before="0" w:after="0" w:line="240" w:lineRule="auto"/>
      </w:pPr>
      <w:rPr>
        <w:b/>
        <w:bCs/>
      </w:rPr>
      <w:tblPr/>
      <w:tcPr>
        <w:tcBorders>
          <w:top w:val="double" w:sz="6" w:space="0" w:color="6EBCD8" w:themeColor="accent1" w:themeTint="BF"/>
          <w:left w:val="single" w:sz="8" w:space="0" w:color="6EBCD8" w:themeColor="accent1" w:themeTint="BF"/>
          <w:bottom w:val="single" w:sz="8" w:space="0" w:color="6EBCD8" w:themeColor="accent1" w:themeTint="BF"/>
          <w:right w:val="single" w:sz="8" w:space="0" w:color="6EBC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1" w:themeFillTint="3F"/>
      </w:tcPr>
    </w:tblStylePr>
    <w:tblStylePr w:type="band1Horz">
      <w:tblPr/>
      <w:tcPr>
        <w:tcBorders>
          <w:insideH w:val="nil"/>
          <w:insideV w:val="nil"/>
        </w:tcBorders>
        <w:shd w:val="clear" w:color="auto" w:fill="CFE8F2"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773FF9"/>
    <w:pPr>
      <w:spacing w:after="200"/>
    </w:pPr>
    <w:rPr>
      <w:color w:val="455560" w:themeColor="accent5"/>
      <w:lang w:eastAsia="en-US"/>
    </w:rPr>
  </w:style>
  <w:style w:type="paragraph" w:customStyle="1" w:styleId="White">
    <w:name w:val="White"/>
    <w:basedOn w:val="BodyText"/>
    <w:next w:val="BodyTextGrey"/>
    <w:uiPriority w:val="2"/>
    <w:qFormat/>
    <w:rsid w:val="006C2E18"/>
    <w:pPr>
      <w:spacing w:after="200"/>
    </w:pPr>
    <w:rPr>
      <w:color w:val="44546A" w:themeColor="background1"/>
      <w:lang w:eastAsia="en-US"/>
    </w:rPr>
  </w:style>
  <w:style w:type="paragraph" w:customStyle="1" w:styleId="Orange">
    <w:name w:val="Orange"/>
    <w:basedOn w:val="BodyText"/>
    <w:next w:val="BodyTextGrey"/>
    <w:uiPriority w:val="2"/>
    <w:rsid w:val="006C2E18"/>
    <w:pPr>
      <w:spacing w:after="200"/>
    </w:pPr>
    <w:rPr>
      <w:color w:val="3FA6CC" w:themeColor="accent1"/>
      <w:lang w:eastAsia="en-US"/>
    </w:rPr>
  </w:style>
  <w:style w:type="numbering" w:customStyle="1" w:styleId="HRBullet">
    <w:name w:val="HR Bullet"/>
    <w:uiPriority w:val="99"/>
    <w:rsid w:val="00E42972"/>
    <w:pPr>
      <w:numPr>
        <w:numId w:val="3"/>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FFFFFF"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F2016C" w:themeColor="accent4"/>
        <w:left w:val="single" w:sz="8" w:space="0" w:color="F2016C" w:themeColor="accent4"/>
        <w:bottom w:val="single" w:sz="8" w:space="0" w:color="F2016C" w:themeColor="accent4"/>
        <w:right w:val="single" w:sz="8" w:space="0" w:color="F2016C" w:themeColor="accent4"/>
      </w:tblBorders>
    </w:tblPr>
    <w:tblStylePr w:type="firstRow">
      <w:pPr>
        <w:spacing w:before="0" w:after="0" w:line="240" w:lineRule="auto"/>
      </w:pPr>
      <w:rPr>
        <w:b/>
        <w:bCs/>
        <w:color w:val="44546A" w:themeColor="background1"/>
      </w:rPr>
      <w:tblPr/>
      <w:tcPr>
        <w:shd w:val="clear" w:color="auto" w:fill="F2016C" w:themeFill="accent4"/>
      </w:tcPr>
    </w:tblStylePr>
    <w:tblStylePr w:type="lastRow">
      <w:pPr>
        <w:spacing w:before="0" w:after="0" w:line="240" w:lineRule="auto"/>
      </w:pPr>
      <w:rPr>
        <w:b/>
        <w:bCs/>
      </w:rPr>
      <w:tblPr/>
      <w:tcPr>
        <w:tcBorders>
          <w:top w:val="double" w:sz="6" w:space="0" w:color="F2016C" w:themeColor="accent4"/>
          <w:left w:val="single" w:sz="8" w:space="0" w:color="F2016C" w:themeColor="accent4"/>
          <w:bottom w:val="single" w:sz="8" w:space="0" w:color="F2016C" w:themeColor="accent4"/>
          <w:right w:val="single" w:sz="8" w:space="0" w:color="F2016C" w:themeColor="accent4"/>
        </w:tcBorders>
      </w:tcPr>
    </w:tblStylePr>
    <w:tblStylePr w:type="firstCol">
      <w:rPr>
        <w:b/>
        <w:bCs/>
      </w:rPr>
    </w:tblStylePr>
    <w:tblStylePr w:type="lastCol">
      <w:rPr>
        <w:b/>
        <w:bCs/>
      </w:rPr>
    </w:tblStylePr>
    <w:tblStylePr w:type="band1Vert">
      <w:tblPr/>
      <w:tcPr>
        <w:tcBorders>
          <w:top w:val="single" w:sz="8" w:space="0" w:color="F2016C" w:themeColor="accent4"/>
          <w:left w:val="single" w:sz="8" w:space="0" w:color="F2016C" w:themeColor="accent4"/>
          <w:bottom w:val="single" w:sz="8" w:space="0" w:color="F2016C" w:themeColor="accent4"/>
          <w:right w:val="single" w:sz="8" w:space="0" w:color="F2016C" w:themeColor="accent4"/>
        </w:tcBorders>
      </w:tcPr>
    </w:tblStylePr>
    <w:tblStylePr w:type="band1Horz">
      <w:tblPr/>
      <w:tcPr>
        <w:tcBorders>
          <w:top w:val="single" w:sz="8" w:space="0" w:color="F2016C" w:themeColor="accent4"/>
          <w:left w:val="single" w:sz="8" w:space="0" w:color="F2016C" w:themeColor="accent4"/>
          <w:bottom w:val="single" w:sz="8" w:space="0" w:color="F2016C" w:themeColor="accent4"/>
          <w:right w:val="single" w:sz="8" w:space="0" w:color="F2016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FFFFFF"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32"/>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2"/>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autoRedefine/>
    <w:uiPriority w:val="99"/>
    <w:semiHidden/>
    <w:unhideWhenUsed/>
    <w:rsid w:val="008A420D"/>
    <w:pPr>
      <w:spacing w:line="240" w:lineRule="auto"/>
    </w:pPr>
    <w:rPr>
      <w:rFonts w:ascii="Tahoma" w:hAnsi="Tahoma" w:cs="Tahoma"/>
      <w:color w:val="323E4F" w:themeColor="background1" w:themeShade="BF"/>
      <w:sz w:val="16"/>
      <w:szCs w:val="16"/>
    </w:rPr>
  </w:style>
  <w:style w:type="character" w:customStyle="1" w:styleId="BalloonTextChar">
    <w:name w:val="Balloon Text Char"/>
    <w:basedOn w:val="DefaultParagraphFont"/>
    <w:link w:val="BalloonText"/>
    <w:uiPriority w:val="99"/>
    <w:semiHidden/>
    <w:rsid w:val="008A420D"/>
    <w:rPr>
      <w:rFonts w:ascii="Tahoma" w:hAnsi="Tahoma" w:cs="Tahoma"/>
      <w:iCs/>
      <w:color w:val="323E4F" w:themeColor="background1" w:themeShade="BF"/>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773FF9"/>
    <w:pPr>
      <w:outlineLvl w:val="9"/>
    </w:pPr>
    <w:rPr>
      <w:b w:val="0"/>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773FF9"/>
    <w:rPr>
      <w:rFonts w:ascii="Arial" w:hAnsi="Arial" w:cs="Arial"/>
      <w:b w:val="0"/>
      <w:iCs/>
      <w:color w:val="85898A" w:themeColor="accent6"/>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773FF9"/>
    <w:rPr>
      <w:rFonts w:ascii="Arial" w:eastAsia="Times New Roman" w:hAnsi="Arial" w:cs="Arial"/>
      <w:iCs/>
      <w:color w:val="455560" w:themeColor="accent5"/>
      <w:sz w:val="20"/>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85898A" w:themeColor="accent6"/>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85898A" w:themeColor="accent6"/>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773FF9"/>
    <w:rPr>
      <w:rFonts w:ascii="Arial" w:hAnsi="Arial" w:cs="Arial"/>
      <w:b/>
      <w:iCs/>
      <w:color w:val="455560" w:themeColor="accent5"/>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85898A" w:themeColor="accent6"/>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773FF9"/>
    <w:rPr>
      <w:rFonts w:ascii="Arial" w:hAnsi="Arial" w:cs="Arial"/>
      <w:b/>
      <w:iCs/>
      <w:color w:val="85898A" w:themeColor="accent6"/>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F2016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FFFFFF"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951E8F"/>
    <w:rPr>
      <w:sz w:val="16"/>
      <w:szCs w:val="16"/>
    </w:rPr>
  </w:style>
  <w:style w:type="paragraph" w:styleId="CommentText">
    <w:name w:val="annotation text"/>
    <w:basedOn w:val="Normal"/>
    <w:link w:val="CommentTextChar"/>
    <w:autoRedefine/>
    <w:uiPriority w:val="99"/>
    <w:unhideWhenUsed/>
    <w:rsid w:val="00341E11"/>
    <w:pPr>
      <w:spacing w:line="240" w:lineRule="auto"/>
    </w:pPr>
    <w:rPr>
      <w:color w:val="auto"/>
    </w:rPr>
  </w:style>
  <w:style w:type="character" w:customStyle="1" w:styleId="CommentTextChar">
    <w:name w:val="Comment Text Char"/>
    <w:basedOn w:val="DefaultParagraphFont"/>
    <w:link w:val="CommentText"/>
    <w:uiPriority w:val="99"/>
    <w:rsid w:val="00341E11"/>
    <w:rPr>
      <w:rFonts w:ascii="Arial" w:hAnsi="Arial" w:cs="Arial"/>
      <w:iCs/>
    </w:rPr>
  </w:style>
  <w:style w:type="paragraph" w:styleId="CommentSubject">
    <w:name w:val="annotation subject"/>
    <w:basedOn w:val="CommentText"/>
    <w:next w:val="CommentText"/>
    <w:link w:val="CommentSubjectChar"/>
    <w:uiPriority w:val="99"/>
    <w:semiHidden/>
    <w:unhideWhenUsed/>
    <w:rsid w:val="00151C95"/>
    <w:rPr>
      <w:b/>
      <w:bCs/>
    </w:rPr>
  </w:style>
  <w:style w:type="character" w:customStyle="1" w:styleId="CommentSubjectChar">
    <w:name w:val="Comment Subject Char"/>
    <w:basedOn w:val="CommentTextChar"/>
    <w:link w:val="CommentSubject"/>
    <w:uiPriority w:val="99"/>
    <w:semiHidden/>
    <w:rsid w:val="00151C95"/>
    <w:rPr>
      <w:rFonts w:ascii="Arial" w:hAnsi="Arial" w:cs="Arial"/>
      <w:b/>
      <w:bCs/>
      <w:iCs/>
      <w:color w:val="FFFFFF" w:themeColor="text1"/>
    </w:rPr>
  </w:style>
  <w:style w:type="character" w:styleId="FollowedHyperlink">
    <w:name w:val="FollowedHyperlink"/>
    <w:basedOn w:val="DefaultParagraphFont"/>
    <w:uiPriority w:val="99"/>
    <w:semiHidden/>
    <w:unhideWhenUsed/>
    <w:rsid w:val="00F63F3F"/>
    <w:rPr>
      <w:color w:val="6EC040" w:themeColor="followedHyperlink"/>
      <w:u w:val="single"/>
    </w:rPr>
  </w:style>
  <w:style w:type="character" w:styleId="UnresolvedMention">
    <w:name w:val="Unresolved Mention"/>
    <w:basedOn w:val="DefaultParagraphFont"/>
    <w:uiPriority w:val="99"/>
    <w:semiHidden/>
    <w:unhideWhenUsed/>
    <w:rsid w:val="00C43446"/>
    <w:rPr>
      <w:color w:val="605E5C"/>
      <w:shd w:val="clear" w:color="auto" w:fill="E1DFDD"/>
    </w:rPr>
  </w:style>
  <w:style w:type="paragraph" w:styleId="TOCHeading">
    <w:name w:val="TOC Heading"/>
    <w:basedOn w:val="Heading1"/>
    <w:next w:val="Normal"/>
    <w:uiPriority w:val="39"/>
    <w:unhideWhenUsed/>
    <w:qFormat/>
    <w:rsid w:val="005D379F"/>
    <w:pPr>
      <w:spacing w:before="240" w:after="0" w:line="259" w:lineRule="auto"/>
      <w:outlineLvl w:val="9"/>
    </w:pPr>
    <w:rPr>
      <w:rFonts w:asciiTheme="majorHAnsi" w:eastAsiaTheme="majorEastAsia" w:hAnsiTheme="majorHAnsi" w:cstheme="majorBidi"/>
      <w:color w:val="2A7E9D" w:themeColor="accent1" w:themeShade="BF"/>
      <w:kern w:val="0"/>
      <w:sz w:val="32"/>
      <w:szCs w:val="32"/>
      <w:lang w:val="en-US"/>
    </w:rPr>
  </w:style>
  <w:style w:type="paragraph" w:styleId="Revision">
    <w:name w:val="Revision"/>
    <w:hidden/>
    <w:uiPriority w:val="99"/>
    <w:semiHidden/>
    <w:rsid w:val="00902582"/>
    <w:pPr>
      <w:spacing w:before="0" w:after="0"/>
    </w:pPr>
    <w:rPr>
      <w:rFonts w:ascii="Arial" w:hAnsi="Arial" w:cs="Arial"/>
      <w:iCs/>
      <w:color w:val="FFFFFF" w:themeColor="text1"/>
    </w:rPr>
  </w:style>
  <w:style w:type="character" w:customStyle="1" w:styleId="fontstyle01">
    <w:name w:val="fontstyle01"/>
    <w:basedOn w:val="DefaultParagraphFont"/>
    <w:rsid w:val="00BE64C2"/>
    <w:rPr>
      <w:rFonts w:ascii="FSLola-Bold" w:hAnsi="FSLola-Bold" w:hint="default"/>
      <w:b/>
      <w:bCs/>
      <w:i w:val="0"/>
      <w:iCs w:val="0"/>
      <w:color w:val="242021"/>
      <w:sz w:val="24"/>
      <w:szCs w:val="24"/>
    </w:rPr>
  </w:style>
  <w:style w:type="paragraph" w:styleId="NormalWeb">
    <w:name w:val="Normal (Web)"/>
    <w:basedOn w:val="Normal"/>
    <w:uiPriority w:val="99"/>
    <w:semiHidden/>
    <w:unhideWhenUsed/>
    <w:rsid w:val="00B05130"/>
    <w:pPr>
      <w:spacing w:before="100" w:beforeAutospacing="1" w:after="100" w:afterAutospacing="1" w:line="240" w:lineRule="auto"/>
      <w:jc w:val="left"/>
    </w:pPr>
    <w:rPr>
      <w:rFonts w:ascii="Times New Roman" w:hAnsi="Times New Roman" w:cs="Times New Roman"/>
      <w:iCs w:val="0"/>
      <w:color w:val="auto"/>
      <w:sz w:val="24"/>
      <w:szCs w:val="24"/>
    </w:rPr>
  </w:style>
  <w:style w:type="character" w:styleId="Mention">
    <w:name w:val="Mention"/>
    <w:basedOn w:val="DefaultParagraphFont"/>
    <w:uiPriority w:val="99"/>
    <w:unhideWhenUsed/>
    <w:rsid w:val="00F73D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672">
      <w:bodyDiv w:val="1"/>
      <w:marLeft w:val="0"/>
      <w:marRight w:val="0"/>
      <w:marTop w:val="0"/>
      <w:marBottom w:val="0"/>
      <w:divBdr>
        <w:top w:val="none" w:sz="0" w:space="0" w:color="auto"/>
        <w:left w:val="none" w:sz="0" w:space="0" w:color="auto"/>
        <w:bottom w:val="none" w:sz="0" w:space="0" w:color="auto"/>
        <w:right w:val="none" w:sz="0" w:space="0" w:color="auto"/>
      </w:divBdr>
    </w:div>
    <w:div w:id="150683907">
      <w:bodyDiv w:val="1"/>
      <w:marLeft w:val="0"/>
      <w:marRight w:val="0"/>
      <w:marTop w:val="0"/>
      <w:marBottom w:val="0"/>
      <w:divBdr>
        <w:top w:val="none" w:sz="0" w:space="0" w:color="auto"/>
        <w:left w:val="none" w:sz="0" w:space="0" w:color="auto"/>
        <w:bottom w:val="none" w:sz="0" w:space="0" w:color="auto"/>
        <w:right w:val="none" w:sz="0" w:space="0" w:color="auto"/>
      </w:divBdr>
    </w:div>
    <w:div w:id="338191417">
      <w:bodyDiv w:val="1"/>
      <w:marLeft w:val="0"/>
      <w:marRight w:val="0"/>
      <w:marTop w:val="0"/>
      <w:marBottom w:val="0"/>
      <w:divBdr>
        <w:top w:val="none" w:sz="0" w:space="0" w:color="auto"/>
        <w:left w:val="none" w:sz="0" w:space="0" w:color="auto"/>
        <w:bottom w:val="none" w:sz="0" w:space="0" w:color="auto"/>
        <w:right w:val="none" w:sz="0" w:space="0" w:color="auto"/>
      </w:divBdr>
    </w:div>
    <w:div w:id="358168414">
      <w:bodyDiv w:val="1"/>
      <w:marLeft w:val="0"/>
      <w:marRight w:val="0"/>
      <w:marTop w:val="0"/>
      <w:marBottom w:val="0"/>
      <w:divBdr>
        <w:top w:val="none" w:sz="0" w:space="0" w:color="auto"/>
        <w:left w:val="none" w:sz="0" w:space="0" w:color="auto"/>
        <w:bottom w:val="none" w:sz="0" w:space="0" w:color="auto"/>
        <w:right w:val="none" w:sz="0" w:space="0" w:color="auto"/>
      </w:divBdr>
    </w:div>
    <w:div w:id="529034349">
      <w:bodyDiv w:val="1"/>
      <w:marLeft w:val="0"/>
      <w:marRight w:val="0"/>
      <w:marTop w:val="0"/>
      <w:marBottom w:val="0"/>
      <w:divBdr>
        <w:top w:val="none" w:sz="0" w:space="0" w:color="auto"/>
        <w:left w:val="none" w:sz="0" w:space="0" w:color="auto"/>
        <w:bottom w:val="none" w:sz="0" w:space="0" w:color="auto"/>
        <w:right w:val="none" w:sz="0" w:space="0" w:color="auto"/>
      </w:divBdr>
    </w:div>
    <w:div w:id="620840227">
      <w:bodyDiv w:val="1"/>
      <w:marLeft w:val="0"/>
      <w:marRight w:val="0"/>
      <w:marTop w:val="0"/>
      <w:marBottom w:val="0"/>
      <w:divBdr>
        <w:top w:val="none" w:sz="0" w:space="0" w:color="auto"/>
        <w:left w:val="none" w:sz="0" w:space="0" w:color="auto"/>
        <w:bottom w:val="none" w:sz="0" w:space="0" w:color="auto"/>
        <w:right w:val="none" w:sz="0" w:space="0" w:color="auto"/>
      </w:divBdr>
    </w:div>
    <w:div w:id="646055902">
      <w:bodyDiv w:val="1"/>
      <w:marLeft w:val="0"/>
      <w:marRight w:val="0"/>
      <w:marTop w:val="0"/>
      <w:marBottom w:val="0"/>
      <w:divBdr>
        <w:top w:val="none" w:sz="0" w:space="0" w:color="auto"/>
        <w:left w:val="none" w:sz="0" w:space="0" w:color="auto"/>
        <w:bottom w:val="none" w:sz="0" w:space="0" w:color="auto"/>
        <w:right w:val="none" w:sz="0" w:space="0" w:color="auto"/>
      </w:divBdr>
    </w:div>
    <w:div w:id="707267072">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37673659">
      <w:bodyDiv w:val="1"/>
      <w:marLeft w:val="0"/>
      <w:marRight w:val="0"/>
      <w:marTop w:val="0"/>
      <w:marBottom w:val="0"/>
      <w:divBdr>
        <w:top w:val="none" w:sz="0" w:space="0" w:color="auto"/>
        <w:left w:val="none" w:sz="0" w:space="0" w:color="auto"/>
        <w:bottom w:val="none" w:sz="0" w:space="0" w:color="auto"/>
        <w:right w:val="none" w:sz="0" w:space="0" w:color="auto"/>
      </w:divBdr>
    </w:div>
    <w:div w:id="761531828">
      <w:bodyDiv w:val="1"/>
      <w:marLeft w:val="0"/>
      <w:marRight w:val="0"/>
      <w:marTop w:val="0"/>
      <w:marBottom w:val="0"/>
      <w:divBdr>
        <w:top w:val="none" w:sz="0" w:space="0" w:color="auto"/>
        <w:left w:val="none" w:sz="0" w:space="0" w:color="auto"/>
        <w:bottom w:val="none" w:sz="0" w:space="0" w:color="auto"/>
        <w:right w:val="none" w:sz="0" w:space="0" w:color="auto"/>
      </w:divBdr>
    </w:div>
    <w:div w:id="791437074">
      <w:bodyDiv w:val="1"/>
      <w:marLeft w:val="0"/>
      <w:marRight w:val="0"/>
      <w:marTop w:val="0"/>
      <w:marBottom w:val="0"/>
      <w:divBdr>
        <w:top w:val="none" w:sz="0" w:space="0" w:color="auto"/>
        <w:left w:val="none" w:sz="0" w:space="0" w:color="auto"/>
        <w:bottom w:val="none" w:sz="0" w:space="0" w:color="auto"/>
        <w:right w:val="none" w:sz="0" w:space="0" w:color="auto"/>
      </w:divBdr>
    </w:div>
    <w:div w:id="843016325">
      <w:bodyDiv w:val="1"/>
      <w:marLeft w:val="0"/>
      <w:marRight w:val="0"/>
      <w:marTop w:val="0"/>
      <w:marBottom w:val="0"/>
      <w:divBdr>
        <w:top w:val="none" w:sz="0" w:space="0" w:color="auto"/>
        <w:left w:val="none" w:sz="0" w:space="0" w:color="auto"/>
        <w:bottom w:val="none" w:sz="0" w:space="0" w:color="auto"/>
        <w:right w:val="none" w:sz="0" w:space="0" w:color="auto"/>
      </w:divBdr>
    </w:div>
    <w:div w:id="884483197">
      <w:bodyDiv w:val="1"/>
      <w:marLeft w:val="0"/>
      <w:marRight w:val="0"/>
      <w:marTop w:val="0"/>
      <w:marBottom w:val="0"/>
      <w:divBdr>
        <w:top w:val="none" w:sz="0" w:space="0" w:color="auto"/>
        <w:left w:val="none" w:sz="0" w:space="0" w:color="auto"/>
        <w:bottom w:val="none" w:sz="0" w:space="0" w:color="auto"/>
        <w:right w:val="none" w:sz="0" w:space="0" w:color="auto"/>
      </w:divBdr>
    </w:div>
    <w:div w:id="1026057304">
      <w:bodyDiv w:val="1"/>
      <w:marLeft w:val="0"/>
      <w:marRight w:val="0"/>
      <w:marTop w:val="0"/>
      <w:marBottom w:val="0"/>
      <w:divBdr>
        <w:top w:val="none" w:sz="0" w:space="0" w:color="auto"/>
        <w:left w:val="none" w:sz="0" w:space="0" w:color="auto"/>
        <w:bottom w:val="none" w:sz="0" w:space="0" w:color="auto"/>
        <w:right w:val="none" w:sz="0" w:space="0" w:color="auto"/>
      </w:divBdr>
    </w:div>
    <w:div w:id="1063257364">
      <w:bodyDiv w:val="1"/>
      <w:marLeft w:val="0"/>
      <w:marRight w:val="0"/>
      <w:marTop w:val="0"/>
      <w:marBottom w:val="0"/>
      <w:divBdr>
        <w:top w:val="none" w:sz="0" w:space="0" w:color="auto"/>
        <w:left w:val="none" w:sz="0" w:space="0" w:color="auto"/>
        <w:bottom w:val="none" w:sz="0" w:space="0" w:color="auto"/>
        <w:right w:val="none" w:sz="0" w:space="0" w:color="auto"/>
      </w:divBdr>
    </w:div>
    <w:div w:id="1109281044">
      <w:bodyDiv w:val="1"/>
      <w:marLeft w:val="0"/>
      <w:marRight w:val="0"/>
      <w:marTop w:val="0"/>
      <w:marBottom w:val="0"/>
      <w:divBdr>
        <w:top w:val="none" w:sz="0" w:space="0" w:color="auto"/>
        <w:left w:val="none" w:sz="0" w:space="0" w:color="auto"/>
        <w:bottom w:val="none" w:sz="0" w:space="0" w:color="auto"/>
        <w:right w:val="none" w:sz="0" w:space="0" w:color="auto"/>
      </w:divBdr>
    </w:div>
    <w:div w:id="1144659747">
      <w:bodyDiv w:val="1"/>
      <w:marLeft w:val="0"/>
      <w:marRight w:val="0"/>
      <w:marTop w:val="0"/>
      <w:marBottom w:val="0"/>
      <w:divBdr>
        <w:top w:val="none" w:sz="0" w:space="0" w:color="auto"/>
        <w:left w:val="none" w:sz="0" w:space="0" w:color="auto"/>
        <w:bottom w:val="none" w:sz="0" w:space="0" w:color="auto"/>
        <w:right w:val="none" w:sz="0" w:space="0" w:color="auto"/>
      </w:divBdr>
    </w:div>
    <w:div w:id="1191263895">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20092077">
      <w:bodyDiv w:val="1"/>
      <w:marLeft w:val="0"/>
      <w:marRight w:val="0"/>
      <w:marTop w:val="0"/>
      <w:marBottom w:val="0"/>
      <w:divBdr>
        <w:top w:val="none" w:sz="0" w:space="0" w:color="auto"/>
        <w:left w:val="none" w:sz="0" w:space="0" w:color="auto"/>
        <w:bottom w:val="none" w:sz="0" w:space="0" w:color="auto"/>
        <w:right w:val="none" w:sz="0" w:space="0" w:color="auto"/>
      </w:divBdr>
    </w:div>
    <w:div w:id="1246496966">
      <w:bodyDiv w:val="1"/>
      <w:marLeft w:val="0"/>
      <w:marRight w:val="0"/>
      <w:marTop w:val="0"/>
      <w:marBottom w:val="0"/>
      <w:divBdr>
        <w:top w:val="none" w:sz="0" w:space="0" w:color="auto"/>
        <w:left w:val="none" w:sz="0" w:space="0" w:color="auto"/>
        <w:bottom w:val="none" w:sz="0" w:space="0" w:color="auto"/>
        <w:right w:val="none" w:sz="0" w:space="0" w:color="auto"/>
      </w:divBdr>
    </w:div>
    <w:div w:id="1314336248">
      <w:bodyDiv w:val="1"/>
      <w:marLeft w:val="0"/>
      <w:marRight w:val="0"/>
      <w:marTop w:val="0"/>
      <w:marBottom w:val="0"/>
      <w:divBdr>
        <w:top w:val="none" w:sz="0" w:space="0" w:color="auto"/>
        <w:left w:val="none" w:sz="0" w:space="0" w:color="auto"/>
        <w:bottom w:val="none" w:sz="0" w:space="0" w:color="auto"/>
        <w:right w:val="none" w:sz="0" w:space="0" w:color="auto"/>
      </w:divBdr>
    </w:div>
    <w:div w:id="1435595213">
      <w:bodyDiv w:val="1"/>
      <w:marLeft w:val="0"/>
      <w:marRight w:val="0"/>
      <w:marTop w:val="0"/>
      <w:marBottom w:val="0"/>
      <w:divBdr>
        <w:top w:val="none" w:sz="0" w:space="0" w:color="auto"/>
        <w:left w:val="none" w:sz="0" w:space="0" w:color="auto"/>
        <w:bottom w:val="none" w:sz="0" w:space="0" w:color="auto"/>
        <w:right w:val="none" w:sz="0" w:space="0" w:color="auto"/>
      </w:divBdr>
    </w:div>
    <w:div w:id="1722751732">
      <w:bodyDiv w:val="1"/>
      <w:marLeft w:val="0"/>
      <w:marRight w:val="0"/>
      <w:marTop w:val="0"/>
      <w:marBottom w:val="0"/>
      <w:divBdr>
        <w:top w:val="none" w:sz="0" w:space="0" w:color="auto"/>
        <w:left w:val="none" w:sz="0" w:space="0" w:color="auto"/>
        <w:bottom w:val="none" w:sz="0" w:space="0" w:color="auto"/>
        <w:right w:val="none" w:sz="0" w:space="0" w:color="auto"/>
      </w:divBdr>
    </w:div>
    <w:div w:id="1728840002">
      <w:bodyDiv w:val="1"/>
      <w:marLeft w:val="0"/>
      <w:marRight w:val="0"/>
      <w:marTop w:val="0"/>
      <w:marBottom w:val="0"/>
      <w:divBdr>
        <w:top w:val="none" w:sz="0" w:space="0" w:color="auto"/>
        <w:left w:val="none" w:sz="0" w:space="0" w:color="auto"/>
        <w:bottom w:val="none" w:sz="0" w:space="0" w:color="auto"/>
        <w:right w:val="none" w:sz="0" w:space="0" w:color="auto"/>
      </w:divBdr>
    </w:div>
    <w:div w:id="1790275513">
      <w:bodyDiv w:val="1"/>
      <w:marLeft w:val="0"/>
      <w:marRight w:val="0"/>
      <w:marTop w:val="0"/>
      <w:marBottom w:val="0"/>
      <w:divBdr>
        <w:top w:val="none" w:sz="0" w:space="0" w:color="auto"/>
        <w:left w:val="none" w:sz="0" w:space="0" w:color="auto"/>
        <w:bottom w:val="none" w:sz="0" w:space="0" w:color="auto"/>
        <w:right w:val="none" w:sz="0" w:space="0" w:color="auto"/>
      </w:divBdr>
    </w:div>
    <w:div w:id="1793284934">
      <w:bodyDiv w:val="1"/>
      <w:marLeft w:val="0"/>
      <w:marRight w:val="0"/>
      <w:marTop w:val="0"/>
      <w:marBottom w:val="0"/>
      <w:divBdr>
        <w:top w:val="none" w:sz="0" w:space="0" w:color="auto"/>
        <w:left w:val="none" w:sz="0" w:space="0" w:color="auto"/>
        <w:bottom w:val="none" w:sz="0" w:space="0" w:color="auto"/>
        <w:right w:val="none" w:sz="0" w:space="0" w:color="auto"/>
      </w:divBdr>
    </w:div>
    <w:div w:id="1808039494">
      <w:bodyDiv w:val="1"/>
      <w:marLeft w:val="0"/>
      <w:marRight w:val="0"/>
      <w:marTop w:val="0"/>
      <w:marBottom w:val="0"/>
      <w:divBdr>
        <w:top w:val="none" w:sz="0" w:space="0" w:color="auto"/>
        <w:left w:val="none" w:sz="0" w:space="0" w:color="auto"/>
        <w:bottom w:val="none" w:sz="0" w:space="0" w:color="auto"/>
        <w:right w:val="none" w:sz="0" w:space="0" w:color="auto"/>
      </w:divBdr>
    </w:div>
    <w:div w:id="1848518821">
      <w:bodyDiv w:val="1"/>
      <w:marLeft w:val="0"/>
      <w:marRight w:val="0"/>
      <w:marTop w:val="0"/>
      <w:marBottom w:val="0"/>
      <w:divBdr>
        <w:top w:val="none" w:sz="0" w:space="0" w:color="auto"/>
        <w:left w:val="none" w:sz="0" w:space="0" w:color="auto"/>
        <w:bottom w:val="none" w:sz="0" w:space="0" w:color="auto"/>
        <w:right w:val="none" w:sz="0" w:space="0" w:color="auto"/>
      </w:divBdr>
    </w:div>
    <w:div w:id="18752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field.gov.uk/__data/assets/pdf_file/0029/98903/Enfield-pension-fund-administration-strategy-Pensions.pdf" TargetMode="External"/><Relationship Id="rId26"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3" Type="http://schemas.openxmlformats.org/officeDocument/2006/relationships/customXml" Target="../customXml/item3.xml"/><Relationship Id="rId21" Type="http://schemas.openxmlformats.org/officeDocument/2006/relationships/hyperlink" Target="https://www.enfield.gov.uk/pens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gpsmember.org" TargetMode="External"/><Relationship Id="rId25" Type="http://schemas.openxmlformats.org/officeDocument/2006/relationships/hyperlink" Target="https://www.lgpsregs.org/schemeregs/lgpsregs2013/timeline.php" TargetMode="External"/><Relationship Id="rId2" Type="http://schemas.openxmlformats.org/officeDocument/2006/relationships/customXml" Target="../customXml/item2.xml"/><Relationship Id="rId16" Type="http://schemas.openxmlformats.org/officeDocument/2006/relationships/hyperlink" Target="mailto:zpensions@enfield.gov.uk" TargetMode="External"/><Relationship Id="rId20" Type="http://schemas.openxmlformats.org/officeDocument/2006/relationships/hyperlink" Target="https://governance.enfield.gov.uk/documents/s108995/Appendix%20A%20-%20Investment%20Strategy%20Statement%202024.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nfield.gov.uk/__data/assets/pdf_file/0026/45656/enfield-pf-responsible-investment-policy-march-2022-Pensions.pdf" TargetMode="External"/><Relationship Id="rId28" Type="http://schemas.openxmlformats.org/officeDocument/2006/relationships/hyperlink" Target="http://www.lgpsregs.org/schemeregs/lgpsregs2013/timeline.php" TargetMode="External"/><Relationship Id="rId10" Type="http://schemas.openxmlformats.org/officeDocument/2006/relationships/endnotes" Target="endnotes.xml"/><Relationship Id="rId19" Type="http://schemas.openxmlformats.org/officeDocument/2006/relationships/hyperlink" Target="https://lgpsregs.org/schemeregs/lgpsregs2013/timeline.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enfield.gov.uk/pensions" TargetMode="External"/><Relationship Id="rId27" Type="http://schemas.openxmlformats.org/officeDocument/2006/relationships/hyperlink" Target="https://lgpsboard.org/index.php/empflexm" TargetMode="External"/><Relationship Id="rId30" Type="http://schemas.openxmlformats.org/officeDocument/2006/relationships/footer" Target="footer3.xml"/></Relationships>
</file>

<file path=word/theme/theme1.xml><?xml version="1.0" encoding="utf-8"?>
<a:theme xmlns:a="http://schemas.openxmlformats.org/drawingml/2006/main" name="HR Colour">
  <a:themeElements>
    <a:clrScheme name="Custom 1">
      <a:dk1>
        <a:srgbClr val="FFFFFF"/>
      </a:dk1>
      <a:lt1>
        <a:srgbClr val="44546A"/>
      </a:lt1>
      <a:dk2>
        <a:srgbClr val="FFFFFF"/>
      </a:dk2>
      <a:lt2>
        <a:srgbClr val="44546A"/>
      </a:lt2>
      <a:accent1>
        <a:srgbClr val="3FA6CC"/>
      </a:accent1>
      <a:accent2>
        <a:srgbClr val="6EC040"/>
      </a:accent2>
      <a:accent3>
        <a:srgbClr val="FDC82F"/>
      </a:accent3>
      <a:accent4>
        <a:srgbClr val="F2016C"/>
      </a:accent4>
      <a:accent5>
        <a:srgbClr val="455560"/>
      </a:accent5>
      <a:accent6>
        <a:srgbClr val="85898A"/>
      </a:accent6>
      <a:hlink>
        <a:srgbClr val="3FA6CC"/>
      </a:hlink>
      <a:folHlink>
        <a:srgbClr val="6EC040"/>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2a5ece-1e71-4ee7-9807-a63c9caf046e">
      <Terms xmlns="http://schemas.microsoft.com/office/infopath/2007/PartnerControls"/>
    </lcf76f155ced4ddcb4097134ff3c332f>
    <TaxCatchAll xmlns="385095ff-76c5-4922-807f-34a9423dc893" xsi:nil="true"/>
    <datetime xmlns="6c2a5ece-1e71-4ee7-9807-a63c9caf04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878B6F8D69304F85D6A4FAB9FD326B" ma:contentTypeVersion="16" ma:contentTypeDescription="Create a new document." ma:contentTypeScope="" ma:versionID="c3d273bcfb497b2f5696f161c8c40d13">
  <xsd:schema xmlns:xsd="http://www.w3.org/2001/XMLSchema" xmlns:xs="http://www.w3.org/2001/XMLSchema" xmlns:p="http://schemas.microsoft.com/office/2006/metadata/properties" xmlns:ns2="6c2a5ece-1e71-4ee7-9807-a63c9caf046e" xmlns:ns3="385095ff-76c5-4922-807f-34a9423dc893" targetNamespace="http://schemas.microsoft.com/office/2006/metadata/properties" ma:root="true" ma:fieldsID="b0d033e287cd0b91eba2ec450f1655bb" ns2:_="" ns3:_="">
    <xsd:import namespace="6c2a5ece-1e71-4ee7-9807-a63c9caf046e"/>
    <xsd:import namespace="385095ff-76c5-4922-807f-34a9423dc8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time"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a5ece-1e71-4ee7-9807-a63c9caf0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2" nillable="true" ma:displayName="date &amp; time" ma:format="DateTime" ma:internalName="datetime">
      <xsd:simpleType>
        <xsd:restriction base="dms:DateTim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095ff-76c5-4922-807f-34a9423dc8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7a9461-2f26-4328-a966-0420269b2ca1}" ma:internalName="TaxCatchAll" ma:showField="CatchAllData" ma:web="385095ff-76c5-4922-807f-34a9423dc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A2E9-DB9C-4602-BEE9-92E6A4F2F8CC}">
  <ds:schemaRefs>
    <ds:schemaRef ds:uri="http://schemas.microsoft.com/sharepoint/v3/contenttype/forms"/>
  </ds:schemaRefs>
</ds:datastoreItem>
</file>

<file path=customXml/itemProps2.xml><?xml version="1.0" encoding="utf-8"?>
<ds:datastoreItem xmlns:ds="http://schemas.openxmlformats.org/officeDocument/2006/customXml" ds:itemID="{D1C20975-E9D2-4464-9512-61919EDBB75C}">
  <ds:schemaRefs>
    <ds:schemaRef ds:uri="http://schemas.microsoft.com/office/2006/metadata/properties"/>
    <ds:schemaRef ds:uri="http://schemas.microsoft.com/office/infopath/2007/PartnerControls"/>
    <ds:schemaRef ds:uri="6c2a5ece-1e71-4ee7-9807-a63c9caf046e"/>
    <ds:schemaRef ds:uri="385095ff-76c5-4922-807f-34a9423dc893"/>
  </ds:schemaRefs>
</ds:datastoreItem>
</file>

<file path=customXml/itemProps3.xml><?xml version="1.0" encoding="utf-8"?>
<ds:datastoreItem xmlns:ds="http://schemas.openxmlformats.org/officeDocument/2006/customXml" ds:itemID="{6947B2DF-9883-47AB-8AE7-468D328FA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a5ece-1e71-4ee7-9807-a63c9caf046e"/>
    <ds:schemaRef ds:uri="385095ff-76c5-4922-807f-34a9423dc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4A939-A3D2-4FE8-8540-5A57F811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12556</Words>
  <Characters>68683</Characters>
  <Application>Microsoft Office Word</Application>
  <DocSecurity>0</DocSecurity>
  <Lines>1597</Lines>
  <Paragraphs>1083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80156</CharactersWithSpaces>
  <SharedDoc>false</SharedDoc>
  <HLinks>
    <vt:vector size="138" baseType="variant">
      <vt:variant>
        <vt:i4>7143437</vt:i4>
      </vt:variant>
      <vt:variant>
        <vt:i4>84</vt:i4>
      </vt:variant>
      <vt:variant>
        <vt:i4>0</vt:i4>
      </vt:variant>
      <vt:variant>
        <vt:i4>5</vt:i4>
      </vt:variant>
      <vt:variant>
        <vt:lpwstr>https://www.enfield.gov.uk/__data/assets/pdf_file/0026/45656/enfield-pf-responsible-investment-policy-march-2022-Pensions.pdf</vt:lpwstr>
      </vt:variant>
      <vt:variant>
        <vt:lpwstr/>
      </vt:variant>
      <vt:variant>
        <vt:i4>4063344</vt:i4>
      </vt:variant>
      <vt:variant>
        <vt:i4>81</vt:i4>
      </vt:variant>
      <vt:variant>
        <vt:i4>0</vt:i4>
      </vt:variant>
      <vt:variant>
        <vt:i4>5</vt:i4>
      </vt:variant>
      <vt:variant>
        <vt:lpwstr>https://www.enfield.gov.uk/pensions</vt:lpwstr>
      </vt:variant>
      <vt:variant>
        <vt:lpwstr/>
      </vt:variant>
      <vt:variant>
        <vt:i4>4063344</vt:i4>
      </vt:variant>
      <vt:variant>
        <vt:i4>78</vt:i4>
      </vt:variant>
      <vt:variant>
        <vt:i4>0</vt:i4>
      </vt:variant>
      <vt:variant>
        <vt:i4>5</vt:i4>
      </vt:variant>
      <vt:variant>
        <vt:lpwstr>https://www.enfield.gov.uk/pensions</vt:lpwstr>
      </vt:variant>
      <vt:variant>
        <vt:lpwstr/>
      </vt:variant>
      <vt:variant>
        <vt:i4>589846</vt:i4>
      </vt:variant>
      <vt:variant>
        <vt:i4>75</vt:i4>
      </vt:variant>
      <vt:variant>
        <vt:i4>0</vt:i4>
      </vt:variant>
      <vt:variant>
        <vt:i4>5</vt:i4>
      </vt:variant>
      <vt:variant>
        <vt:lpwstr/>
      </vt:variant>
      <vt:variant>
        <vt:lpwstr>AppendixD</vt:lpwstr>
      </vt:variant>
      <vt:variant>
        <vt:i4>589846</vt:i4>
      </vt:variant>
      <vt:variant>
        <vt:i4>72</vt:i4>
      </vt:variant>
      <vt:variant>
        <vt:i4>0</vt:i4>
      </vt:variant>
      <vt:variant>
        <vt:i4>5</vt:i4>
      </vt:variant>
      <vt:variant>
        <vt:lpwstr/>
      </vt:variant>
      <vt:variant>
        <vt:lpwstr>AppendixD</vt:lpwstr>
      </vt:variant>
      <vt:variant>
        <vt:i4>589846</vt:i4>
      </vt:variant>
      <vt:variant>
        <vt:i4>69</vt:i4>
      </vt:variant>
      <vt:variant>
        <vt:i4>0</vt:i4>
      </vt:variant>
      <vt:variant>
        <vt:i4>5</vt:i4>
      </vt:variant>
      <vt:variant>
        <vt:lpwstr/>
      </vt:variant>
      <vt:variant>
        <vt:lpwstr>AppendixD</vt:lpwstr>
      </vt:variant>
      <vt:variant>
        <vt:i4>589846</vt:i4>
      </vt:variant>
      <vt:variant>
        <vt:i4>63</vt:i4>
      </vt:variant>
      <vt:variant>
        <vt:i4>0</vt:i4>
      </vt:variant>
      <vt:variant>
        <vt:i4>5</vt:i4>
      </vt:variant>
      <vt:variant>
        <vt:lpwstr/>
      </vt:variant>
      <vt:variant>
        <vt:lpwstr>AppendixA</vt:lpwstr>
      </vt:variant>
      <vt:variant>
        <vt:i4>2293861</vt:i4>
      </vt:variant>
      <vt:variant>
        <vt:i4>60</vt:i4>
      </vt:variant>
      <vt:variant>
        <vt:i4>0</vt:i4>
      </vt:variant>
      <vt:variant>
        <vt:i4>5</vt:i4>
      </vt:variant>
      <vt:variant>
        <vt:lpwstr>https://governance.enfield.gov.uk/documents/s108995/Appendix A - Investment Strategy Statement 2024.pdf</vt:lpwstr>
      </vt:variant>
      <vt:variant>
        <vt:lpwstr/>
      </vt:variant>
      <vt:variant>
        <vt:i4>589846</vt:i4>
      </vt:variant>
      <vt:variant>
        <vt:i4>57</vt:i4>
      </vt:variant>
      <vt:variant>
        <vt:i4>0</vt:i4>
      </vt:variant>
      <vt:variant>
        <vt:i4>5</vt:i4>
      </vt:variant>
      <vt:variant>
        <vt:lpwstr/>
      </vt:variant>
      <vt:variant>
        <vt:lpwstr>AppendixE</vt:lpwstr>
      </vt:variant>
      <vt:variant>
        <vt:i4>589846</vt:i4>
      </vt:variant>
      <vt:variant>
        <vt:i4>54</vt:i4>
      </vt:variant>
      <vt:variant>
        <vt:i4>0</vt:i4>
      </vt:variant>
      <vt:variant>
        <vt:i4>5</vt:i4>
      </vt:variant>
      <vt:variant>
        <vt:lpwstr/>
      </vt:variant>
      <vt:variant>
        <vt:lpwstr>AppendixD</vt:lpwstr>
      </vt:variant>
      <vt:variant>
        <vt:i4>589846</vt:i4>
      </vt:variant>
      <vt:variant>
        <vt:i4>51</vt:i4>
      </vt:variant>
      <vt:variant>
        <vt:i4>0</vt:i4>
      </vt:variant>
      <vt:variant>
        <vt:i4>5</vt:i4>
      </vt:variant>
      <vt:variant>
        <vt:lpwstr/>
      </vt:variant>
      <vt:variant>
        <vt:lpwstr>AppendixD</vt:lpwstr>
      </vt:variant>
      <vt:variant>
        <vt:i4>3997800</vt:i4>
      </vt:variant>
      <vt:variant>
        <vt:i4>48</vt:i4>
      </vt:variant>
      <vt:variant>
        <vt:i4>0</vt:i4>
      </vt:variant>
      <vt:variant>
        <vt:i4>5</vt:i4>
      </vt:variant>
      <vt:variant>
        <vt:lpwstr>https://lgpsregs.org/schemeregs/lgpsregs2013/timeline.php</vt:lpwstr>
      </vt:variant>
      <vt:variant>
        <vt:lpwstr>r62</vt:lpwstr>
      </vt:variant>
      <vt:variant>
        <vt:i4>4194350</vt:i4>
      </vt:variant>
      <vt:variant>
        <vt:i4>45</vt:i4>
      </vt:variant>
      <vt:variant>
        <vt:i4>0</vt:i4>
      </vt:variant>
      <vt:variant>
        <vt:i4>5</vt:i4>
      </vt:variant>
      <vt:variant>
        <vt:lpwstr>https://www.enfield.gov.uk/__data/assets/pdf_file/0029/98903/Enfield-pension-fund-administration-strategy-Pensions.pdf</vt:lpwstr>
      </vt:variant>
      <vt:variant>
        <vt:lpwstr/>
      </vt:variant>
      <vt:variant>
        <vt:i4>589846</vt:i4>
      </vt:variant>
      <vt:variant>
        <vt:i4>39</vt:i4>
      </vt:variant>
      <vt:variant>
        <vt:i4>0</vt:i4>
      </vt:variant>
      <vt:variant>
        <vt:i4>5</vt:i4>
      </vt:variant>
      <vt:variant>
        <vt:lpwstr/>
      </vt:variant>
      <vt:variant>
        <vt:lpwstr>AppendixB</vt:lpwstr>
      </vt:variant>
      <vt:variant>
        <vt:i4>2162745</vt:i4>
      </vt:variant>
      <vt:variant>
        <vt:i4>36</vt:i4>
      </vt:variant>
      <vt:variant>
        <vt:i4>0</vt:i4>
      </vt:variant>
      <vt:variant>
        <vt:i4>5</vt:i4>
      </vt:variant>
      <vt:variant>
        <vt:lpwstr>http://www.lgpsmember.org/</vt:lpwstr>
      </vt:variant>
      <vt:variant>
        <vt:lpwstr/>
      </vt:variant>
      <vt:variant>
        <vt:i4>43</vt:i4>
      </vt:variant>
      <vt:variant>
        <vt:i4>33</vt:i4>
      </vt:variant>
      <vt:variant>
        <vt:i4>0</vt:i4>
      </vt:variant>
      <vt:variant>
        <vt:i4>5</vt:i4>
      </vt:variant>
      <vt:variant>
        <vt:lpwstr>mailto:ravi.lakhani@enfield.gov.uk</vt:lpwstr>
      </vt:variant>
      <vt:variant>
        <vt:lpwstr/>
      </vt:variant>
      <vt:variant>
        <vt:i4>589846</vt:i4>
      </vt:variant>
      <vt:variant>
        <vt:i4>30</vt:i4>
      </vt:variant>
      <vt:variant>
        <vt:i4>0</vt:i4>
      </vt:variant>
      <vt:variant>
        <vt:i4>5</vt:i4>
      </vt:variant>
      <vt:variant>
        <vt:lpwstr/>
      </vt:variant>
      <vt:variant>
        <vt:lpwstr>AppendixA</vt:lpwstr>
      </vt:variant>
      <vt:variant>
        <vt:i4>6357018</vt:i4>
      </vt:variant>
      <vt:variant>
        <vt:i4>15</vt:i4>
      </vt:variant>
      <vt:variant>
        <vt:i4>0</vt:i4>
      </vt:variant>
      <vt:variant>
        <vt:i4>5</vt:i4>
      </vt:variant>
      <vt:variant>
        <vt:lpwstr>mailto:LMcInroy@hymans.co.uk</vt:lpwstr>
      </vt:variant>
      <vt:variant>
        <vt:lpwstr/>
      </vt:variant>
      <vt:variant>
        <vt:i4>5570621</vt:i4>
      </vt:variant>
      <vt:variant>
        <vt:i4>12</vt:i4>
      </vt:variant>
      <vt:variant>
        <vt:i4>0</vt:i4>
      </vt:variant>
      <vt:variant>
        <vt:i4>5</vt:i4>
      </vt:variant>
      <vt:variant>
        <vt:lpwstr>mailto:SRobinson@hymans.co.uk</vt:lpwstr>
      </vt:variant>
      <vt:variant>
        <vt:lpwstr/>
      </vt:variant>
      <vt:variant>
        <vt:i4>5570621</vt:i4>
      </vt:variant>
      <vt:variant>
        <vt:i4>9</vt:i4>
      </vt:variant>
      <vt:variant>
        <vt:i4>0</vt:i4>
      </vt:variant>
      <vt:variant>
        <vt:i4>5</vt:i4>
      </vt:variant>
      <vt:variant>
        <vt:lpwstr>mailto:SRobinson@hymans.co.uk</vt:lpwstr>
      </vt:variant>
      <vt:variant>
        <vt:lpwstr/>
      </vt:variant>
      <vt:variant>
        <vt:i4>5570621</vt:i4>
      </vt:variant>
      <vt:variant>
        <vt:i4>6</vt:i4>
      </vt:variant>
      <vt:variant>
        <vt:i4>0</vt:i4>
      </vt:variant>
      <vt:variant>
        <vt:i4>5</vt:i4>
      </vt:variant>
      <vt:variant>
        <vt:lpwstr>mailto:SRobinson@hymans.co.uk</vt:lpwstr>
      </vt:variant>
      <vt:variant>
        <vt:lpwstr/>
      </vt:variant>
      <vt:variant>
        <vt:i4>5570621</vt:i4>
      </vt:variant>
      <vt:variant>
        <vt:i4>3</vt:i4>
      </vt:variant>
      <vt:variant>
        <vt:i4>0</vt:i4>
      </vt:variant>
      <vt:variant>
        <vt:i4>5</vt:i4>
      </vt:variant>
      <vt:variant>
        <vt:lpwstr>mailto:SRobinson@hymans.co.uk</vt:lpwstr>
      </vt:variant>
      <vt:variant>
        <vt:lpwstr/>
      </vt:variant>
      <vt:variant>
        <vt:i4>5570621</vt:i4>
      </vt:variant>
      <vt:variant>
        <vt:i4>0</vt:i4>
      </vt:variant>
      <vt:variant>
        <vt:i4>0</vt:i4>
      </vt:variant>
      <vt:variant>
        <vt:i4>5</vt:i4>
      </vt:variant>
      <vt:variant>
        <vt:lpwstr>mailto:SRobinson@hymans.co.uk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West</dc:creator>
  <cp:keywords/>
  <cp:lastModifiedBy>Ravi Lakhani</cp:lastModifiedBy>
  <cp:revision>2</cp:revision>
  <cp:lastPrinted>2025-11-28T15:44:00Z</cp:lastPrinted>
  <dcterms:created xsi:type="dcterms:W3CDTF">2026-03-13T10:55:00Z</dcterms:created>
  <dcterms:modified xsi:type="dcterms:W3CDTF">2026-03-13T10:55:00Z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0x010100EF878B6F8D69304F85D6A4FAB9FD326B</vt:lpwstr>
  </property>
  <property fmtid="{D5CDD505-2E9C-101B-9397-08002B2CF9AE}" pid="3" name="MSIP_Label_6e790e80-11b5-47dd-848c-b53ec7d1b15e_Enabled">
    <vt:lpwstr>true</vt:lpwstr>
  </property>
  <property fmtid="{D5CDD505-2E9C-101B-9397-08002B2CF9AE}" pid="4" name="MSIP_Label_6e790e80-11b5-47dd-848c-b53ec7d1b15e_SetDate">
    <vt:lpwstr>2025-01-29T20:52:27Z</vt:lpwstr>
  </property>
  <property fmtid="{D5CDD505-2E9C-101B-9397-08002B2CF9AE}" pid="5" name="MSIP_Label_6e790e80-11b5-47dd-848c-b53ec7d1b15e_Method">
    <vt:lpwstr>Privileged</vt:lpwstr>
  </property>
  <property fmtid="{D5CDD505-2E9C-101B-9397-08002B2CF9AE}" pid="6" name="MSIP_Label_6e790e80-11b5-47dd-848c-b53ec7d1b15e_Name">
    <vt:lpwstr>Internal</vt:lpwstr>
  </property>
  <property fmtid="{D5CDD505-2E9C-101B-9397-08002B2CF9AE}" pid="7" name="MSIP_Label_6e790e80-11b5-47dd-848c-b53ec7d1b15e_SiteId">
    <vt:lpwstr>a2276d23-b281-4962-9c99-3c5c8d9895c5</vt:lpwstr>
  </property>
  <property fmtid="{D5CDD505-2E9C-101B-9397-08002B2CF9AE}" pid="8" name="MSIP_Label_6e790e80-11b5-47dd-848c-b53ec7d1b15e_ActionId">
    <vt:lpwstr>a68c28b7-44c8-4700-9444-a11b60bda830</vt:lpwstr>
  </property>
  <property fmtid="{D5CDD505-2E9C-101B-9397-08002B2CF9AE}" pid="9" name="MSIP_Label_6e790e80-11b5-47dd-848c-b53ec7d1b15e_ContentBits">
    <vt:lpwstr>0</vt:lpwstr>
  </property>
  <property fmtid="{D5CDD505-2E9C-101B-9397-08002B2CF9AE}" pid="10" name="docLang">
    <vt:lpwstr>en</vt:lpwstr>
  </property>
  <property fmtid="{D5CDD505-2E9C-101B-9397-08002B2CF9AE}" pid="11" name="MediaServiceImageTags">
    <vt:lpwstr/>
  </property>
</Properties>
</file>